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80291B">
      <w:pPr>
        <w:spacing w:line="600" w:lineRule="exact"/>
        <w:rPr>
          <w:rFonts w:hint="default" w:ascii="Times New Roman" w:hAnsi="Times New Roman" w:eastAsia="黑体"/>
          <w:bCs/>
          <w:sz w:val="32"/>
          <w:szCs w:val="32"/>
          <w:lang w:val="en-US" w:eastAsia="zh-CN"/>
        </w:rPr>
      </w:pPr>
      <w:r>
        <w:rPr>
          <w:rFonts w:ascii="Times New Roman" w:hAnsi="Times New Roman" w:eastAsia="黑体"/>
          <w:bCs/>
          <w:sz w:val="32"/>
          <w:szCs w:val="32"/>
        </w:rPr>
        <w:t>附件</w:t>
      </w:r>
      <w:r>
        <w:rPr>
          <w:rFonts w:hint="eastAsia" w:ascii="Times New Roman" w:hAnsi="Times New Roman" w:eastAsia="黑体"/>
          <w:bCs/>
          <w:sz w:val="32"/>
          <w:szCs w:val="32"/>
          <w:lang w:val="en-US" w:eastAsia="zh-CN"/>
        </w:rPr>
        <w:t>2</w:t>
      </w:r>
    </w:p>
    <w:p w14:paraId="08406421">
      <w:pPr>
        <w:ind w:right="120"/>
        <w:jc w:val="right"/>
        <w:rPr>
          <w:rFonts w:ascii="Times New Roman" w:hAnsi="Times New Roman" w:eastAsia="华文楷体"/>
          <w:bCs/>
          <w:sz w:val="16"/>
          <w:szCs w:val="21"/>
        </w:rPr>
      </w:pPr>
    </w:p>
    <w:p w14:paraId="72B4A0B3">
      <w:pPr>
        <w:ind w:right="120"/>
        <w:jc w:val="right"/>
        <w:rPr>
          <w:rFonts w:ascii="Times New Roman" w:hAnsi="Times New Roman" w:eastAsia="华文楷体"/>
          <w:bCs/>
          <w:sz w:val="16"/>
          <w:szCs w:val="21"/>
        </w:rPr>
      </w:pPr>
    </w:p>
    <w:p w14:paraId="659F503C">
      <w:pPr>
        <w:ind w:right="120"/>
        <w:jc w:val="right"/>
        <w:rPr>
          <w:rFonts w:ascii="Times New Roman" w:hAnsi="Times New Roman" w:eastAsia="华文楷体"/>
          <w:bCs/>
          <w:sz w:val="16"/>
          <w:szCs w:val="21"/>
        </w:rPr>
      </w:pPr>
    </w:p>
    <w:p w14:paraId="28388C8A">
      <w:pPr>
        <w:jc w:val="center"/>
        <w:rPr>
          <w:rFonts w:ascii="Times New Roman" w:hAnsi="Times New Roman" w:eastAsia="黑体"/>
          <w:bCs/>
          <w:sz w:val="44"/>
        </w:rPr>
      </w:pPr>
    </w:p>
    <w:p w14:paraId="1E646886">
      <w:pPr>
        <w:jc w:val="center"/>
        <w:rPr>
          <w:rFonts w:ascii="Times New Roman" w:hAnsi="Times New Roman" w:eastAsia="黑体"/>
          <w:bCs/>
          <w:sz w:val="44"/>
        </w:rPr>
      </w:pPr>
    </w:p>
    <w:p w14:paraId="1E32B130">
      <w:pPr>
        <w:spacing w:line="600" w:lineRule="exact"/>
        <w:jc w:val="center"/>
        <w:rPr>
          <w:rFonts w:ascii="Times New Roman" w:hAnsi="Times New Roman" w:eastAsia="方正小标宋简体"/>
          <w:bCs/>
          <w:sz w:val="44"/>
        </w:rPr>
      </w:pPr>
      <w:r>
        <w:rPr>
          <w:rFonts w:ascii="Times New Roman" w:hAnsi="Times New Roman" w:eastAsia="方正小标宋简体"/>
          <w:bCs/>
          <w:sz w:val="44"/>
        </w:rPr>
        <w:t>合肥市财政支出项目</w:t>
      </w:r>
      <w:r>
        <w:rPr>
          <w:rFonts w:hint="eastAsia" w:ascii="Times New Roman" w:hAnsi="Times New Roman" w:eastAsia="方正小标宋简体"/>
          <w:bCs/>
          <w:sz w:val="44"/>
        </w:rPr>
        <w:t>部门评价</w:t>
      </w:r>
      <w:r>
        <w:rPr>
          <w:rFonts w:ascii="Times New Roman" w:hAnsi="Times New Roman" w:eastAsia="方正小标宋简体"/>
          <w:bCs/>
          <w:sz w:val="44"/>
        </w:rPr>
        <w:t>报告</w:t>
      </w:r>
    </w:p>
    <w:p w14:paraId="4CFF8AB3">
      <w:pPr>
        <w:jc w:val="center"/>
        <w:rPr>
          <w:rFonts w:ascii="Times New Roman" w:hAnsi="Times New Roman" w:eastAsia="楷体_GB2312"/>
          <w:b/>
          <w:bCs/>
          <w:sz w:val="32"/>
        </w:rPr>
      </w:pPr>
    </w:p>
    <w:p w14:paraId="248E6BF5">
      <w:pPr>
        <w:spacing w:before="156" w:beforeLines="50" w:after="156" w:afterLines="50"/>
        <w:ind w:firstLine="614" w:firstLineChars="192"/>
        <w:rPr>
          <w:rFonts w:ascii="Times New Roman" w:hAnsi="Times New Roman" w:eastAsia="楷体_GB2312"/>
          <w:sz w:val="32"/>
        </w:rPr>
      </w:pPr>
    </w:p>
    <w:p w14:paraId="7676E8C2">
      <w:pPr>
        <w:spacing w:before="156" w:beforeLines="50" w:after="156" w:afterLines="50"/>
        <w:ind w:left="2207" w:leftChars="289" w:hanging="1600" w:hangingChars="500"/>
        <w:rPr>
          <w:rFonts w:ascii="Times New Roman" w:hAnsi="Times New Roman" w:eastAsia="楷体_GB2312"/>
          <w:sz w:val="32"/>
          <w:u w:val="single"/>
        </w:rPr>
      </w:pPr>
      <w:r>
        <w:rPr>
          <w:rFonts w:ascii="Times New Roman" w:hAnsi="Times New Roman" w:eastAsia="楷体_GB2312"/>
          <w:sz w:val="32"/>
        </w:rPr>
        <w:t>项   目   名   称 ：</w:t>
      </w:r>
      <w:r>
        <w:rPr>
          <w:rFonts w:hint="eastAsia" w:ascii="Times New Roman" w:hAnsi="Times New Roman" w:eastAsia="楷体_GB2312"/>
          <w:sz w:val="32"/>
          <w:u w:val="single"/>
        </w:rPr>
        <w:t>龙岗开发区大彭片区征地预存款</w:t>
      </w:r>
      <w:r>
        <w:rPr>
          <w:rFonts w:ascii="Times New Roman" w:hAnsi="Times New Roman" w:eastAsia="楷体_GB2312"/>
          <w:sz w:val="32"/>
          <w:u w:val="single"/>
        </w:rPr>
        <w:t xml:space="preserve">  </w:t>
      </w:r>
    </w:p>
    <w:p w14:paraId="41DC3085">
      <w:pPr>
        <w:spacing w:before="156" w:beforeLines="50" w:after="156" w:afterLines="50"/>
        <w:ind w:left="1887" w:leftChars="289" w:hanging="1280" w:hangingChars="400"/>
        <w:rPr>
          <w:rFonts w:ascii="Times New Roman" w:hAnsi="Times New Roman" w:eastAsia="楷体_GB2312"/>
          <w:sz w:val="32"/>
          <w:u w:val="single"/>
        </w:rPr>
      </w:pPr>
      <w:r>
        <w:rPr>
          <w:rFonts w:ascii="Times New Roman" w:hAnsi="Times New Roman" w:eastAsia="楷体_GB2312"/>
          <w:sz w:val="32"/>
        </w:rPr>
        <w:t>项   目   单   位 ：</w:t>
      </w:r>
      <w:r>
        <w:rPr>
          <w:rFonts w:ascii="Times New Roman" w:hAnsi="Times New Roman" w:eastAsia="楷体_GB2312"/>
          <w:sz w:val="32"/>
          <w:u w:val="single"/>
        </w:rPr>
        <w:t xml:space="preserve"> </w:t>
      </w:r>
      <w:r>
        <w:rPr>
          <w:rFonts w:hint="eastAsia" w:ascii="Times New Roman" w:hAnsi="Times New Roman" w:eastAsia="楷体_GB2312"/>
          <w:sz w:val="32"/>
          <w:u w:val="single"/>
          <w:lang w:val="en-US" w:eastAsia="zh-CN"/>
        </w:rPr>
        <w:t>合肥市</w:t>
      </w:r>
      <w:r>
        <w:rPr>
          <w:rFonts w:hint="eastAsia" w:ascii="Times New Roman" w:hAnsi="Times New Roman" w:eastAsia="楷体_GB2312"/>
          <w:sz w:val="32"/>
          <w:u w:val="single"/>
        </w:rPr>
        <w:t>瑶海区住房和城乡建设局</w:t>
      </w:r>
      <w:r>
        <w:rPr>
          <w:rFonts w:ascii="Times New Roman" w:hAnsi="Times New Roman" w:eastAsia="楷体_GB2312"/>
          <w:sz w:val="32"/>
          <w:u w:val="single"/>
        </w:rPr>
        <w:t xml:space="preserve">   </w:t>
      </w:r>
    </w:p>
    <w:p w14:paraId="317335F6">
      <w:pPr>
        <w:spacing w:before="156" w:beforeLines="50" w:after="156" w:afterLines="50"/>
        <w:ind w:left="1887" w:leftChars="289" w:hanging="1280" w:hangingChars="400"/>
        <w:rPr>
          <w:rFonts w:ascii="Times New Roman" w:hAnsi="Times New Roman" w:eastAsia="楷体_GB2312"/>
          <w:sz w:val="32"/>
          <w:u w:val="single"/>
        </w:rPr>
      </w:pPr>
      <w:r>
        <w:rPr>
          <w:rFonts w:ascii="Times New Roman" w:hAnsi="Times New Roman" w:eastAsia="楷体_GB2312"/>
          <w:sz w:val="32"/>
        </w:rPr>
        <w:t>项目责任人 （签字）：</w:t>
      </w:r>
      <w:r>
        <w:rPr>
          <w:rFonts w:ascii="Times New Roman" w:hAnsi="Times New Roman" w:eastAsia="楷体_GB2312"/>
          <w:sz w:val="32"/>
          <w:u w:val="single"/>
        </w:rPr>
        <w:t xml:space="preserve">                           </w:t>
      </w:r>
    </w:p>
    <w:p w14:paraId="502B4776">
      <w:pPr>
        <w:spacing w:before="156" w:beforeLines="50" w:after="156" w:afterLines="50"/>
        <w:ind w:firstLine="614" w:firstLineChars="192"/>
        <w:rPr>
          <w:rFonts w:ascii="Times New Roman" w:hAnsi="Times New Roman" w:eastAsia="楷体_GB2312"/>
          <w:sz w:val="32"/>
          <w:u w:val="single"/>
        </w:rPr>
      </w:pPr>
      <w:r>
        <w:rPr>
          <w:rFonts w:ascii="Times New Roman" w:hAnsi="Times New Roman" w:eastAsia="楷体_GB2312"/>
          <w:sz w:val="32"/>
        </w:rPr>
        <w:t>主 管 部 门（盖章）：</w:t>
      </w:r>
      <w:r>
        <w:rPr>
          <w:rFonts w:ascii="Times New Roman" w:hAnsi="Times New Roman" w:eastAsia="楷体_GB2312"/>
          <w:sz w:val="32"/>
          <w:u w:val="single"/>
        </w:rPr>
        <w:t xml:space="preserve">                           </w:t>
      </w:r>
    </w:p>
    <w:p w14:paraId="7B95E8F0">
      <w:pPr>
        <w:spacing w:before="156" w:beforeLines="50" w:after="156" w:afterLines="50"/>
        <w:ind w:firstLine="614" w:firstLineChars="192"/>
        <w:rPr>
          <w:rFonts w:ascii="Times New Roman" w:hAnsi="Times New Roman" w:eastAsia="楷体_GB2312"/>
          <w:sz w:val="32"/>
        </w:rPr>
      </w:pPr>
    </w:p>
    <w:p w14:paraId="77B18A69">
      <w:pPr>
        <w:ind w:firstLine="614" w:firstLineChars="192"/>
        <w:jc w:val="center"/>
        <w:rPr>
          <w:rFonts w:ascii="Times New Roman" w:hAnsi="Times New Roman" w:eastAsia="楷体_GB2312"/>
          <w:sz w:val="32"/>
        </w:rPr>
      </w:pPr>
    </w:p>
    <w:p w14:paraId="737F2D6C">
      <w:pPr>
        <w:spacing w:line="600" w:lineRule="exact"/>
        <w:jc w:val="center"/>
        <w:rPr>
          <w:rFonts w:ascii="Times New Roman" w:hAnsi="Times New Roman" w:eastAsia="方正小标宋简体"/>
          <w:bCs/>
          <w:sz w:val="44"/>
          <w:szCs w:val="24"/>
        </w:rPr>
      </w:pPr>
      <w:r>
        <w:rPr>
          <w:rFonts w:ascii="Times New Roman" w:hAnsi="Times New Roman" w:eastAsia="楷体"/>
          <w:sz w:val="32"/>
        </w:rPr>
        <w:t xml:space="preserve">      202</w:t>
      </w:r>
      <w:r>
        <w:rPr>
          <w:rFonts w:hint="eastAsia" w:ascii="Times New Roman" w:hAnsi="Times New Roman" w:eastAsia="楷体"/>
          <w:sz w:val="32"/>
          <w:lang w:val="en-US" w:eastAsia="zh-CN"/>
        </w:rPr>
        <w:t>5</w:t>
      </w:r>
      <w:r>
        <w:rPr>
          <w:rFonts w:ascii="Times New Roman" w:hAnsi="Times New Roman" w:eastAsia="楷体_GB2312"/>
          <w:sz w:val="32"/>
        </w:rPr>
        <w:t>年</w:t>
      </w:r>
      <w:r>
        <w:rPr>
          <w:rFonts w:hint="eastAsia" w:ascii="Times New Roman" w:hAnsi="Times New Roman" w:eastAsia="楷体"/>
          <w:sz w:val="32"/>
          <w:lang w:val="en-US" w:eastAsia="zh-CN"/>
        </w:rPr>
        <w:t>3</w:t>
      </w:r>
      <w:r>
        <w:rPr>
          <w:rFonts w:ascii="Times New Roman" w:hAnsi="Times New Roman" w:eastAsia="楷体_GB2312"/>
          <w:sz w:val="32"/>
        </w:rPr>
        <w:t>月</w:t>
      </w:r>
      <w:r>
        <w:rPr>
          <w:rFonts w:ascii="Times New Roman" w:hAnsi="Times New Roman" w:eastAsia="楷体_GB2312"/>
          <w:sz w:val="32"/>
        </w:rPr>
        <w:br w:type="page"/>
      </w:r>
      <w:r>
        <w:rPr>
          <w:rFonts w:hint="eastAsia" w:ascii="Times New Roman" w:hAnsi="Times New Roman" w:eastAsia="方正小标宋简体"/>
          <w:bCs/>
          <w:sz w:val="44"/>
          <w:szCs w:val="24"/>
          <w:lang w:eastAsia="zh-CN"/>
        </w:rPr>
        <w:t>202</w:t>
      </w:r>
      <w:r>
        <w:rPr>
          <w:rFonts w:hint="eastAsia" w:ascii="Times New Roman" w:hAnsi="Times New Roman" w:eastAsia="方正小标宋简体"/>
          <w:bCs/>
          <w:sz w:val="44"/>
          <w:szCs w:val="24"/>
          <w:lang w:val="en-US" w:eastAsia="zh-CN"/>
        </w:rPr>
        <w:t>4</w:t>
      </w:r>
      <w:r>
        <w:rPr>
          <w:rFonts w:ascii="Times New Roman" w:hAnsi="Times New Roman" w:eastAsia="方正小标宋简体"/>
          <w:bCs/>
          <w:sz w:val="44"/>
          <w:szCs w:val="24"/>
        </w:rPr>
        <w:t>年</w:t>
      </w:r>
      <w:r>
        <w:rPr>
          <w:rFonts w:hint="eastAsia" w:ascii="Times New Roman" w:hAnsi="Times New Roman" w:eastAsia="方正小标宋简体"/>
          <w:bCs/>
          <w:sz w:val="44"/>
          <w:szCs w:val="24"/>
        </w:rPr>
        <w:t>龙岗开发区大彭片区征地预存款</w:t>
      </w:r>
      <w:r>
        <w:rPr>
          <w:rFonts w:ascii="Times New Roman" w:hAnsi="Times New Roman" w:eastAsia="方正小标宋简体"/>
          <w:bCs/>
          <w:sz w:val="44"/>
          <w:szCs w:val="24"/>
        </w:rPr>
        <w:t>项目</w:t>
      </w:r>
      <w:r>
        <w:rPr>
          <w:rFonts w:hint="eastAsia" w:ascii="Times New Roman" w:hAnsi="Times New Roman" w:eastAsia="方正小标宋简体"/>
          <w:bCs/>
          <w:sz w:val="44"/>
          <w:szCs w:val="24"/>
        </w:rPr>
        <w:t>部门评价</w:t>
      </w:r>
      <w:r>
        <w:rPr>
          <w:rFonts w:ascii="Times New Roman" w:hAnsi="Times New Roman" w:eastAsia="方正小标宋简体"/>
          <w:bCs/>
          <w:sz w:val="44"/>
          <w:szCs w:val="24"/>
        </w:rPr>
        <w:t>报告</w:t>
      </w:r>
    </w:p>
    <w:p w14:paraId="3D7ADBB2">
      <w:pPr>
        <w:spacing w:line="580" w:lineRule="exact"/>
        <w:jc w:val="center"/>
        <w:rPr>
          <w:rFonts w:ascii="Times New Roman" w:hAnsi="Times New Roman" w:eastAsia="仿宋_GB2312"/>
          <w:bCs/>
          <w:sz w:val="32"/>
          <w:szCs w:val="32"/>
        </w:rPr>
      </w:pPr>
    </w:p>
    <w:p w14:paraId="592CFA4F">
      <w:pPr>
        <w:widowControl/>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一、项目基本情况</w:t>
      </w:r>
    </w:p>
    <w:p w14:paraId="625B504A">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（一）项目概况</w:t>
      </w:r>
    </w:p>
    <w:p w14:paraId="74A4D0CF">
      <w:pPr>
        <w:widowControl/>
        <w:spacing w:line="560" w:lineRule="exact"/>
        <w:ind w:firstLine="640" w:firstLineChars="200"/>
        <w:rPr>
          <w:rFonts w:ascii="Times New Roman" w:hAnsi="Times New Roman" w:eastAsia="仿宋_GB2312"/>
          <w:snapToGrid w:val="0"/>
          <w:color w:val="000000"/>
          <w:sz w:val="32"/>
          <w:szCs w:val="32"/>
        </w:rPr>
      </w:pPr>
      <w:r>
        <w:rPr>
          <w:rFonts w:ascii="Times New Roman" w:hAnsi="Times New Roman" w:eastAsia="仿宋_GB2312"/>
          <w:snapToGrid w:val="0"/>
          <w:color w:val="000000"/>
          <w:sz w:val="32"/>
          <w:szCs w:val="32"/>
        </w:rPr>
        <w:t>1.项目立项情况</w:t>
      </w:r>
    </w:p>
    <w:p w14:paraId="4EFDE454">
      <w:pPr>
        <w:spacing w:line="560" w:lineRule="exact"/>
        <w:ind w:firstLine="646" w:firstLineChars="202"/>
        <w:rPr>
          <w:rFonts w:ascii="Times New Roman" w:hAnsi="Times New Roman" w:eastAsia="仿宋_GB2312"/>
          <w:snapToGrid w:val="0"/>
          <w:color w:val="000000"/>
          <w:sz w:val="32"/>
          <w:szCs w:val="32"/>
        </w:rPr>
      </w:pPr>
      <w:r>
        <w:rPr>
          <w:rFonts w:hint="eastAsia" w:ascii="Times New Roman" w:hAnsi="Times New Roman" w:eastAsia="仿宋_GB2312"/>
          <w:color w:val="000000"/>
          <w:sz w:val="32"/>
          <w:szCs w:val="32"/>
        </w:rPr>
        <w:t>根据市级行政部门相关审批要求，我局需</w:t>
      </w:r>
      <w:r>
        <w:rPr>
          <w:rFonts w:hint="eastAsia" w:ascii="Times New Roman" w:hAnsi="Times New Roman" w:eastAsia="仿宋_GB2312"/>
          <w:color w:val="000000"/>
          <w:sz w:val="32"/>
          <w:szCs w:val="32"/>
          <w:lang w:eastAsia="zh-CN"/>
        </w:rPr>
        <w:t>完成大彭片区、</w:t>
      </w:r>
      <w:r>
        <w:rPr>
          <w:rFonts w:hint="eastAsia" w:ascii="Times New Roman" w:hAnsi="Times New Roman" w:eastAsia="仿宋_GB2312"/>
          <w:color w:val="000000"/>
          <w:sz w:val="32"/>
          <w:szCs w:val="32"/>
          <w:lang w:val="en-US" w:eastAsia="zh-CN"/>
        </w:rPr>
        <w:t>大店片区等地块</w:t>
      </w:r>
      <w:r>
        <w:rPr>
          <w:rFonts w:hint="eastAsia" w:ascii="Times New Roman" w:hAnsi="Times New Roman" w:eastAsia="仿宋_GB2312"/>
          <w:color w:val="000000"/>
          <w:sz w:val="32"/>
          <w:szCs w:val="32"/>
          <w:lang w:eastAsia="zh-CN"/>
        </w:rPr>
        <w:t>征地报批工作</w:t>
      </w:r>
      <w:r>
        <w:rPr>
          <w:rFonts w:hint="eastAsia" w:ascii="Times New Roman" w:hAnsi="Times New Roman" w:eastAsia="仿宋_GB2312"/>
          <w:color w:val="000000"/>
          <w:sz w:val="32"/>
          <w:szCs w:val="32"/>
          <w:lang w:val="en-US" w:eastAsia="zh-CN"/>
        </w:rPr>
        <w:t>。</w:t>
      </w:r>
    </w:p>
    <w:p w14:paraId="13B5CC9C">
      <w:pPr>
        <w:spacing w:line="560" w:lineRule="exact"/>
        <w:ind w:firstLine="646" w:firstLineChars="202"/>
        <w:rPr>
          <w:rFonts w:ascii="Times New Roman" w:hAnsi="Times New Roman" w:eastAsia="仿宋_GB2312"/>
          <w:snapToGrid w:val="0"/>
          <w:color w:val="000000"/>
          <w:sz w:val="32"/>
          <w:szCs w:val="32"/>
        </w:rPr>
      </w:pPr>
      <w:r>
        <w:rPr>
          <w:rFonts w:ascii="Times New Roman" w:hAnsi="Times New Roman" w:eastAsia="仿宋_GB2312"/>
          <w:snapToGrid w:val="0"/>
          <w:color w:val="000000"/>
          <w:sz w:val="32"/>
          <w:szCs w:val="32"/>
        </w:rPr>
        <w:t>2.项目执行情况</w:t>
      </w:r>
    </w:p>
    <w:p w14:paraId="533ECD31">
      <w:pPr>
        <w:spacing w:line="560" w:lineRule="exact"/>
        <w:ind w:firstLine="646" w:firstLineChars="202"/>
        <w:rPr>
          <w:rFonts w:ascii="Times New Roman" w:hAnsi="Times New Roman" w:eastAsia="仿宋_GB2312"/>
          <w:sz w:val="32"/>
          <w:szCs w:val="32"/>
        </w:rPr>
      </w:pPr>
      <w:r>
        <w:rPr>
          <w:rFonts w:hint="eastAsia" w:ascii="Times New Roman" w:hAnsi="Times New Roman" w:eastAsia="仿宋_GB2312"/>
          <w:snapToGrid w:val="0"/>
          <w:color w:val="000000"/>
          <w:sz w:val="32"/>
          <w:szCs w:val="32"/>
          <w:lang w:val="en-US" w:eastAsia="zh-CN"/>
        </w:rPr>
        <w:t>根据年度工作，瑶海区大彭片区、大店片区等</w:t>
      </w:r>
      <w:r>
        <w:rPr>
          <w:rFonts w:hint="eastAsia" w:ascii="Times New Roman" w:hAnsi="Times New Roman" w:eastAsia="仿宋_GB2312"/>
          <w:color w:val="000000"/>
          <w:sz w:val="32"/>
          <w:szCs w:val="32"/>
          <w:lang w:val="en-US" w:eastAsia="zh-CN"/>
        </w:rPr>
        <w:t>地块需完成</w:t>
      </w:r>
      <w:r>
        <w:rPr>
          <w:rFonts w:hint="eastAsia" w:ascii="Times New Roman" w:hAnsi="Times New Roman" w:eastAsia="仿宋_GB2312"/>
          <w:color w:val="000000"/>
          <w:sz w:val="32"/>
          <w:szCs w:val="32"/>
          <w:lang w:eastAsia="zh-CN"/>
        </w:rPr>
        <w:t>征地报批工作，</w:t>
      </w:r>
      <w:r>
        <w:rPr>
          <w:rFonts w:hint="eastAsia" w:ascii="Times New Roman" w:hAnsi="Times New Roman" w:eastAsia="仿宋_GB2312"/>
          <w:color w:val="000000"/>
          <w:sz w:val="32"/>
          <w:szCs w:val="32"/>
          <w:lang w:val="en-US" w:eastAsia="zh-CN"/>
        </w:rPr>
        <w:t>目前已全部取得用地批复</w:t>
      </w:r>
      <w:r>
        <w:rPr>
          <w:rFonts w:hint="eastAsia" w:ascii="Times New Roman" w:hAnsi="Times New Roman" w:eastAsia="仿宋_GB2312" w:cs="Times New Roman"/>
          <w:snapToGrid w:val="0"/>
          <w:color w:val="000000"/>
          <w:kern w:val="2"/>
          <w:sz w:val="32"/>
          <w:szCs w:val="32"/>
          <w:lang w:val="en-US" w:eastAsia="zh-CN" w:bidi="ar-SA"/>
        </w:rPr>
        <w:t>。</w:t>
      </w:r>
    </w:p>
    <w:p w14:paraId="343F5BBE">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（二）项目绩效目标</w:t>
      </w:r>
    </w:p>
    <w:p w14:paraId="5C273306">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1.项目年度总体目标</w:t>
      </w:r>
    </w:p>
    <w:p w14:paraId="4A8CE079">
      <w:pPr>
        <w:spacing w:line="560" w:lineRule="exact"/>
        <w:ind w:firstLine="646" w:firstLineChars="202"/>
      </w:pPr>
      <w:r>
        <w:rPr>
          <w:rFonts w:hint="eastAsia" w:ascii="Times New Roman" w:hAnsi="Times New Roman" w:eastAsia="仿宋_GB2312"/>
          <w:color w:val="000000"/>
          <w:sz w:val="32"/>
          <w:szCs w:val="32"/>
        </w:rPr>
        <w:t>根据市级行政部门相关审批要求，我局需</w:t>
      </w:r>
      <w:r>
        <w:rPr>
          <w:rFonts w:hint="eastAsia" w:ascii="Times New Roman" w:hAnsi="Times New Roman" w:eastAsia="仿宋_GB2312"/>
          <w:color w:val="000000"/>
          <w:sz w:val="32"/>
          <w:szCs w:val="32"/>
          <w:lang w:eastAsia="zh-CN"/>
        </w:rPr>
        <w:t>完成大彭片区、</w:t>
      </w:r>
      <w:r>
        <w:rPr>
          <w:rFonts w:hint="eastAsia" w:ascii="Times New Roman" w:hAnsi="Times New Roman" w:eastAsia="仿宋_GB2312"/>
          <w:snapToGrid w:val="0"/>
          <w:color w:val="000000"/>
          <w:sz w:val="32"/>
          <w:szCs w:val="32"/>
          <w:lang w:val="en-US" w:eastAsia="zh-CN"/>
        </w:rPr>
        <w:t>大店片区等</w:t>
      </w:r>
      <w:r>
        <w:rPr>
          <w:rFonts w:hint="eastAsia" w:ascii="Times New Roman" w:hAnsi="Times New Roman" w:eastAsia="仿宋_GB2312"/>
          <w:color w:val="000000"/>
          <w:sz w:val="32"/>
          <w:szCs w:val="32"/>
          <w:lang w:val="en-US" w:eastAsia="zh-CN"/>
        </w:rPr>
        <w:t>地块</w:t>
      </w:r>
      <w:r>
        <w:rPr>
          <w:rFonts w:hint="eastAsia" w:ascii="Times New Roman" w:hAnsi="Times New Roman" w:eastAsia="仿宋_GB2312"/>
          <w:color w:val="000000"/>
          <w:sz w:val="32"/>
          <w:szCs w:val="32"/>
          <w:lang w:eastAsia="zh-CN"/>
        </w:rPr>
        <w:t>征地报批工作</w:t>
      </w:r>
      <w:r>
        <w:rPr>
          <w:rFonts w:hint="eastAsia" w:ascii="Times New Roman" w:hAnsi="Times New Roman" w:eastAsia="仿宋_GB2312"/>
          <w:color w:val="000000"/>
          <w:sz w:val="32"/>
          <w:szCs w:val="32"/>
        </w:rPr>
        <w:t>，保证</w:t>
      </w:r>
      <w:r>
        <w:rPr>
          <w:rFonts w:hint="eastAsia" w:ascii="Times New Roman" w:hAnsi="Times New Roman" w:eastAsia="仿宋_GB2312"/>
          <w:color w:val="000000"/>
          <w:sz w:val="32"/>
          <w:szCs w:val="32"/>
          <w:lang w:eastAsia="zh-CN"/>
        </w:rPr>
        <w:t>地块上市、路网建设等项目</w:t>
      </w:r>
      <w:r>
        <w:rPr>
          <w:rFonts w:hint="eastAsia" w:ascii="Times New Roman" w:hAnsi="Times New Roman" w:eastAsia="仿宋_GB2312"/>
          <w:color w:val="000000"/>
          <w:sz w:val="32"/>
          <w:szCs w:val="32"/>
        </w:rPr>
        <w:t>顺利开展。</w:t>
      </w:r>
    </w:p>
    <w:p w14:paraId="5EB3D32D">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2.总体目标完成情况</w:t>
      </w:r>
    </w:p>
    <w:p w14:paraId="3321F104">
      <w:pPr>
        <w:spacing w:line="560" w:lineRule="exact"/>
        <w:ind w:firstLine="646" w:firstLineChars="202"/>
        <w:rPr>
          <w:rFonts w:hint="default"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rPr>
        <w:t>我局</w:t>
      </w:r>
      <w:r>
        <w:rPr>
          <w:rFonts w:hint="eastAsia" w:ascii="Times New Roman" w:hAnsi="Times New Roman" w:eastAsia="仿宋_GB2312"/>
          <w:color w:val="000000"/>
          <w:sz w:val="32"/>
          <w:szCs w:val="32"/>
          <w:lang w:val="en-US" w:eastAsia="zh-CN"/>
        </w:rPr>
        <w:t>有序推进项目各项前期工作，</w:t>
      </w:r>
      <w:r>
        <w:rPr>
          <w:rFonts w:hint="eastAsia" w:ascii="Times New Roman" w:hAnsi="Times New Roman" w:eastAsia="仿宋_GB2312"/>
          <w:snapToGrid w:val="0"/>
          <w:color w:val="000000"/>
          <w:sz w:val="32"/>
          <w:szCs w:val="32"/>
          <w:lang w:val="en-US" w:eastAsia="zh-CN"/>
        </w:rPr>
        <w:t>已完成大彭片区、大店片区等</w:t>
      </w:r>
      <w:r>
        <w:rPr>
          <w:rFonts w:hint="eastAsia" w:ascii="Times New Roman" w:hAnsi="Times New Roman" w:eastAsia="仿宋_GB2312"/>
          <w:color w:val="000000"/>
          <w:sz w:val="32"/>
          <w:szCs w:val="32"/>
          <w:lang w:val="en-US" w:eastAsia="zh-CN"/>
        </w:rPr>
        <w:t>地块</w:t>
      </w:r>
      <w:r>
        <w:rPr>
          <w:rFonts w:hint="eastAsia" w:ascii="Times New Roman" w:hAnsi="Times New Roman" w:eastAsia="仿宋_GB2312"/>
          <w:snapToGrid w:val="0"/>
          <w:color w:val="000000"/>
          <w:sz w:val="32"/>
          <w:szCs w:val="32"/>
          <w:lang w:val="en-US" w:eastAsia="zh-CN"/>
        </w:rPr>
        <w:t>征地报批并取得批复，</w:t>
      </w:r>
      <w:r>
        <w:rPr>
          <w:rFonts w:hint="eastAsia" w:ascii="Times New Roman" w:hAnsi="Times New Roman" w:eastAsia="仿宋_GB2312"/>
          <w:color w:val="000000"/>
          <w:sz w:val="32"/>
          <w:szCs w:val="32"/>
          <w:lang w:val="en-US" w:eastAsia="zh-CN"/>
        </w:rPr>
        <w:t>有效保障了</w:t>
      </w:r>
      <w:r>
        <w:rPr>
          <w:rFonts w:hint="eastAsia" w:ascii="Times New Roman" w:hAnsi="Times New Roman" w:eastAsia="仿宋_GB2312"/>
          <w:color w:val="000000"/>
          <w:sz w:val="32"/>
          <w:szCs w:val="32"/>
          <w:lang w:eastAsia="zh-CN"/>
        </w:rPr>
        <w:t>地块上市、路网建设等项目</w:t>
      </w:r>
      <w:r>
        <w:rPr>
          <w:rFonts w:hint="eastAsia" w:ascii="Times New Roman" w:hAnsi="Times New Roman" w:eastAsia="仿宋_GB2312"/>
          <w:color w:val="000000"/>
          <w:sz w:val="32"/>
          <w:szCs w:val="32"/>
        </w:rPr>
        <w:t>顺利开展。</w:t>
      </w:r>
    </w:p>
    <w:p w14:paraId="3DDF3D95">
      <w:pPr>
        <w:spacing w:line="56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二、绩效</w:t>
      </w:r>
      <w:r>
        <w:rPr>
          <w:rFonts w:hint="eastAsia" w:ascii="Times New Roman" w:hAnsi="Times New Roman" w:eastAsia="黑体"/>
          <w:color w:val="000000"/>
          <w:sz w:val="32"/>
          <w:szCs w:val="32"/>
        </w:rPr>
        <w:t>评价</w:t>
      </w:r>
      <w:r>
        <w:rPr>
          <w:rFonts w:ascii="Times New Roman" w:hAnsi="Times New Roman" w:eastAsia="黑体"/>
          <w:color w:val="000000"/>
          <w:sz w:val="32"/>
          <w:szCs w:val="32"/>
        </w:rPr>
        <w:t>结论</w:t>
      </w:r>
    </w:p>
    <w:p w14:paraId="031643A4">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（一）总体结论</w:t>
      </w:r>
    </w:p>
    <w:p w14:paraId="7FD409FA">
      <w:pPr>
        <w:spacing w:line="560" w:lineRule="exact"/>
        <w:ind w:firstLine="646" w:firstLineChars="202"/>
        <w:rPr>
          <w:rFonts w:ascii="Times New Roman" w:hAnsi="Times New Roman" w:eastAsia="仿宋_GB2312"/>
          <w:color w:val="000000"/>
          <w:sz w:val="32"/>
          <w:szCs w:val="32"/>
        </w:rPr>
      </w:pPr>
      <w:r>
        <w:rPr>
          <w:rFonts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4</w:t>
      </w:r>
      <w:r>
        <w:rPr>
          <w:rFonts w:ascii="Times New Roman" w:hAnsi="Times New Roman" w:eastAsia="仿宋_GB2312"/>
          <w:color w:val="auto"/>
          <w:sz w:val="32"/>
          <w:szCs w:val="32"/>
        </w:rPr>
        <w:t>年度，</w:t>
      </w:r>
      <w:r>
        <w:rPr>
          <w:rFonts w:hint="eastAsia" w:ascii="Times New Roman" w:hAnsi="Times New Roman" w:eastAsia="仿宋_GB2312"/>
          <w:color w:val="auto"/>
          <w:sz w:val="32"/>
          <w:szCs w:val="32"/>
          <w:lang w:val="en-US" w:eastAsia="zh-CN"/>
        </w:rPr>
        <w:t>龙岗开发区大彭片区征地预存款</w:t>
      </w:r>
      <w:r>
        <w:rPr>
          <w:rFonts w:ascii="Times New Roman" w:hAnsi="Times New Roman" w:eastAsia="仿宋_GB2312"/>
          <w:color w:val="auto"/>
          <w:sz w:val="32"/>
          <w:szCs w:val="32"/>
        </w:rPr>
        <w:t>项目通过申请财政资金</w:t>
      </w:r>
      <w:r>
        <w:rPr>
          <w:rFonts w:hint="eastAsia" w:ascii="Times New Roman" w:hAnsi="Times New Roman" w:eastAsia="仿宋_GB2312"/>
          <w:color w:val="auto"/>
          <w:sz w:val="32"/>
          <w:szCs w:val="32"/>
          <w:lang w:val="en-US" w:eastAsia="zh-CN"/>
        </w:rPr>
        <w:t>11888.85</w:t>
      </w:r>
      <w:r>
        <w:rPr>
          <w:rFonts w:ascii="Times New Roman" w:hAnsi="Times New Roman" w:eastAsia="仿宋_GB2312"/>
          <w:color w:val="auto"/>
          <w:sz w:val="32"/>
          <w:szCs w:val="32"/>
        </w:rPr>
        <w:t>万元，</w:t>
      </w:r>
      <w:r>
        <w:rPr>
          <w:rFonts w:hint="eastAsia" w:ascii="Times New Roman" w:hAnsi="Times New Roman" w:eastAsia="仿宋_GB2312"/>
          <w:color w:val="auto"/>
          <w:sz w:val="32"/>
          <w:szCs w:val="32"/>
          <w:lang w:val="en-US" w:eastAsia="zh-CN"/>
        </w:rPr>
        <w:t>主要用于</w:t>
      </w:r>
      <w:r>
        <w:rPr>
          <w:rFonts w:hint="eastAsia" w:ascii="Times New Roman" w:hAnsi="Times New Roman" w:eastAsia="仿宋_GB2312"/>
          <w:color w:val="000000"/>
          <w:sz w:val="32"/>
          <w:szCs w:val="32"/>
          <w:lang w:eastAsia="zh-CN"/>
        </w:rPr>
        <w:t>大彭片区、</w:t>
      </w:r>
      <w:r>
        <w:rPr>
          <w:rFonts w:hint="eastAsia" w:ascii="Times New Roman" w:hAnsi="Times New Roman" w:eastAsia="仿宋_GB2312"/>
          <w:snapToGrid w:val="0"/>
          <w:color w:val="000000"/>
          <w:sz w:val="32"/>
          <w:szCs w:val="32"/>
          <w:lang w:val="en-US" w:eastAsia="zh-CN"/>
        </w:rPr>
        <w:t>大店片区等</w:t>
      </w:r>
      <w:r>
        <w:rPr>
          <w:rFonts w:hint="eastAsia" w:ascii="Times New Roman" w:hAnsi="Times New Roman" w:eastAsia="仿宋_GB2312"/>
          <w:color w:val="000000"/>
          <w:sz w:val="32"/>
          <w:szCs w:val="32"/>
          <w:lang w:val="en-US" w:eastAsia="zh-CN"/>
        </w:rPr>
        <w:t>地块</w:t>
      </w:r>
      <w:r>
        <w:rPr>
          <w:rFonts w:hint="eastAsia" w:ascii="Times New Roman" w:hAnsi="Times New Roman" w:eastAsia="仿宋_GB2312"/>
          <w:color w:val="000000"/>
          <w:sz w:val="32"/>
          <w:szCs w:val="32"/>
          <w:lang w:eastAsia="zh-CN"/>
        </w:rPr>
        <w:t>征地报批工作</w:t>
      </w:r>
      <w:r>
        <w:rPr>
          <w:rFonts w:hint="eastAsia" w:ascii="Times New Roman" w:hAnsi="Times New Roman" w:eastAsia="仿宋_GB2312"/>
          <w:color w:val="000000"/>
          <w:sz w:val="32"/>
          <w:szCs w:val="32"/>
        </w:rPr>
        <w:t>，保证大建设项目顺利开展</w:t>
      </w:r>
      <w:r>
        <w:rPr>
          <w:rFonts w:hint="eastAsia" w:ascii="Times New Roman" w:hAnsi="Times New Roman" w:eastAsia="仿宋_GB2312"/>
          <w:color w:val="000000"/>
          <w:sz w:val="32"/>
          <w:szCs w:val="32"/>
          <w:lang w:eastAsia="zh-CN"/>
        </w:rPr>
        <w:t>，</w:t>
      </w:r>
      <w:r>
        <w:rPr>
          <w:rFonts w:hint="eastAsia" w:ascii="Times New Roman" w:hAnsi="Times New Roman" w:eastAsia="仿宋_GB2312"/>
          <w:snapToGrid w:val="0"/>
          <w:color w:val="000000"/>
          <w:sz w:val="32"/>
          <w:szCs w:val="32"/>
          <w:lang w:val="en-US" w:eastAsia="zh-CN"/>
        </w:rPr>
        <w:t>达到项目预期效果。</w:t>
      </w:r>
    </w:p>
    <w:p w14:paraId="58E1608C">
      <w:pPr>
        <w:widowControl/>
        <w:spacing w:line="60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（二）</w:t>
      </w:r>
      <w:r>
        <w:rPr>
          <w:rFonts w:hint="eastAsia" w:ascii="Times New Roman" w:hAnsi="Times New Roman" w:eastAsia="楷体_GB2312"/>
          <w:b/>
          <w:color w:val="000000"/>
          <w:sz w:val="32"/>
          <w:szCs w:val="32"/>
        </w:rPr>
        <w:t>评价</w:t>
      </w:r>
      <w:r>
        <w:rPr>
          <w:rFonts w:ascii="Times New Roman" w:hAnsi="Times New Roman" w:eastAsia="楷体_GB2312"/>
          <w:b/>
          <w:color w:val="000000"/>
          <w:sz w:val="32"/>
          <w:szCs w:val="32"/>
        </w:rPr>
        <w:t>结果</w:t>
      </w:r>
    </w:p>
    <w:p w14:paraId="36529D3D">
      <w:pPr>
        <w:widowControl/>
        <w:spacing w:line="560" w:lineRule="exact"/>
        <w:ind w:firstLine="640" w:firstLineChars="200"/>
        <w:rPr>
          <w:rFonts w:hint="eastAsia" w:ascii="Times New Roman" w:hAnsi="Times New Roman" w:eastAsia="仿宋_GB2312"/>
          <w:snapToGrid w:val="0"/>
          <w:color w:val="000000"/>
          <w:sz w:val="32"/>
          <w:szCs w:val="32"/>
          <w:lang w:val="en-US" w:eastAsia="zh-CN"/>
        </w:rPr>
      </w:pPr>
      <w:r>
        <w:rPr>
          <w:rFonts w:hint="eastAsia" w:ascii="Times New Roman" w:hAnsi="Times New Roman" w:eastAsia="仿宋_GB2312"/>
          <w:snapToGrid w:val="0"/>
          <w:color w:val="000000"/>
          <w:sz w:val="32"/>
          <w:szCs w:val="32"/>
          <w:lang w:val="en-US" w:eastAsia="zh-CN"/>
        </w:rPr>
        <w:t>经评价，2024年度“龙岗开发区大彭片区征地预存款”项目综合得分为100分，评价结果为“优”。</w:t>
      </w:r>
    </w:p>
    <w:p w14:paraId="6C265F10">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三、指标分析</w:t>
      </w:r>
    </w:p>
    <w:p w14:paraId="02187CD8">
      <w:pPr>
        <w:widowControl/>
        <w:spacing w:line="56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sz w:val="32"/>
          <w:szCs w:val="32"/>
          <w:lang w:eastAsia="zh-CN"/>
        </w:rPr>
        <w:t>202</w:t>
      </w:r>
      <w:r>
        <w:rPr>
          <w:rFonts w:hint="eastAsia" w:ascii="Times New Roman" w:hAnsi="Times New Roman" w:eastAsia="仿宋_GB2312"/>
          <w:sz w:val="32"/>
          <w:szCs w:val="32"/>
          <w:lang w:val="en-US" w:eastAsia="zh-CN"/>
        </w:rPr>
        <w:t>4</w:t>
      </w:r>
      <w:r>
        <w:rPr>
          <w:rFonts w:ascii="Times New Roman" w:hAnsi="Times New Roman" w:eastAsia="仿宋_GB2312"/>
          <w:color w:val="000000"/>
          <w:sz w:val="32"/>
          <w:szCs w:val="32"/>
        </w:rPr>
        <w:t>年度</w:t>
      </w:r>
      <w:r>
        <w:rPr>
          <w:rFonts w:hint="eastAsia" w:ascii="Times New Roman" w:hAnsi="Times New Roman" w:eastAsia="仿宋_GB2312"/>
          <w:snapToGrid w:val="0"/>
          <w:color w:val="000000"/>
          <w:sz w:val="32"/>
          <w:szCs w:val="32"/>
          <w:lang w:val="en-US" w:eastAsia="zh-CN"/>
        </w:rPr>
        <w:t>龙岗开发区大彭片区征地预存款项目绩效评价指标体系设置预算执行率和3个一级指标，7个二级指标，7个三级指标，各项指标评分情况分析如下：</w:t>
      </w:r>
    </w:p>
    <w:p w14:paraId="293E1332">
      <w:pPr>
        <w:spacing w:line="592" w:lineRule="exact"/>
        <w:ind w:firstLine="643" w:firstLineChars="200"/>
        <w:rPr>
          <w:rFonts w:ascii="Times New Roman" w:hAnsi="Times New Roman" w:eastAsia="楷体_GB2312"/>
          <w:b/>
          <w:bCs/>
          <w:sz w:val="32"/>
        </w:rPr>
      </w:pPr>
      <w:r>
        <w:rPr>
          <w:rFonts w:ascii="Times New Roman" w:hAnsi="Times New Roman" w:eastAsia="楷体_GB2312"/>
          <w:b/>
          <w:bCs/>
          <w:sz w:val="32"/>
        </w:rPr>
        <w:t>（一）预算执行率（满分10分，实得</w:t>
      </w:r>
      <w:r>
        <w:rPr>
          <w:rFonts w:hint="eastAsia" w:ascii="Times New Roman" w:hAnsi="Times New Roman" w:eastAsia="楷体_GB2312"/>
          <w:b/>
          <w:bCs/>
          <w:sz w:val="32"/>
          <w:lang w:val="en-US" w:eastAsia="zh-CN"/>
        </w:rPr>
        <w:t>10</w:t>
      </w:r>
      <w:r>
        <w:rPr>
          <w:rFonts w:ascii="Times New Roman" w:hAnsi="Times New Roman" w:eastAsia="楷体_GB2312"/>
          <w:b/>
          <w:bCs/>
          <w:sz w:val="32"/>
        </w:rPr>
        <w:t>分）</w:t>
      </w:r>
    </w:p>
    <w:p w14:paraId="0FCE4938">
      <w:pPr>
        <w:widowControl/>
        <w:spacing w:line="560" w:lineRule="exact"/>
        <w:ind w:firstLine="640" w:firstLineChars="200"/>
        <w:rPr>
          <w:rFonts w:hint="eastAsia" w:ascii="Times New Roman" w:hAnsi="Times New Roman" w:eastAsia="仿宋_GB2312"/>
          <w:snapToGrid w:val="0"/>
          <w:color w:val="000000"/>
          <w:sz w:val="32"/>
          <w:szCs w:val="32"/>
          <w:lang w:val="en-US" w:eastAsia="zh-CN"/>
        </w:rPr>
      </w:pPr>
      <w:r>
        <w:rPr>
          <w:rFonts w:hint="eastAsia" w:ascii="Times New Roman" w:hAnsi="Times New Roman" w:eastAsia="仿宋_GB2312"/>
          <w:snapToGrid w:val="0"/>
          <w:color w:val="000000"/>
          <w:sz w:val="32"/>
          <w:szCs w:val="32"/>
          <w:lang w:val="en-US" w:eastAsia="zh-CN"/>
        </w:rPr>
        <w:t>2024年，“龙岗开发区大彭片区征地预存款”项目全年预算安排</w:t>
      </w:r>
      <w:r>
        <w:rPr>
          <w:rFonts w:hint="eastAsia" w:ascii="Times New Roman" w:hAnsi="Times New Roman" w:eastAsia="仿宋_GB2312"/>
          <w:color w:val="auto"/>
          <w:sz w:val="32"/>
          <w:szCs w:val="32"/>
          <w:lang w:val="en-US" w:eastAsia="zh-CN"/>
        </w:rPr>
        <w:t>11888.85</w:t>
      </w:r>
      <w:r>
        <w:rPr>
          <w:rFonts w:hint="eastAsia" w:ascii="Times New Roman" w:hAnsi="Times New Roman" w:eastAsia="仿宋_GB2312"/>
          <w:snapToGrid w:val="0"/>
          <w:color w:val="000000"/>
          <w:sz w:val="32"/>
          <w:szCs w:val="32"/>
          <w:lang w:val="en-US" w:eastAsia="zh-CN"/>
        </w:rPr>
        <w:t>万元，全年执行</w:t>
      </w:r>
      <w:r>
        <w:rPr>
          <w:rFonts w:hint="eastAsia" w:ascii="Times New Roman" w:hAnsi="Times New Roman" w:eastAsia="仿宋_GB2312"/>
          <w:color w:val="auto"/>
          <w:sz w:val="32"/>
          <w:szCs w:val="32"/>
          <w:lang w:val="en-US" w:eastAsia="zh-CN"/>
        </w:rPr>
        <w:t>11888.85</w:t>
      </w:r>
      <w:r>
        <w:rPr>
          <w:rFonts w:hint="eastAsia" w:ascii="Times New Roman" w:hAnsi="Times New Roman" w:eastAsia="仿宋_GB2312"/>
          <w:snapToGrid w:val="0"/>
          <w:color w:val="000000"/>
          <w:sz w:val="32"/>
          <w:szCs w:val="32"/>
          <w:lang w:val="en-US" w:eastAsia="zh-CN"/>
        </w:rPr>
        <w:t>万元，预算执行率100%，得分10分。</w:t>
      </w:r>
    </w:p>
    <w:p w14:paraId="7FEEC4A9">
      <w:pPr>
        <w:widowControl/>
        <w:spacing w:line="60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二</w:t>
      </w:r>
      <w:r>
        <w:rPr>
          <w:rFonts w:ascii="Times New Roman" w:hAnsi="Times New Roman" w:eastAsia="楷体_GB2312"/>
          <w:b/>
          <w:color w:val="000000"/>
          <w:sz w:val="32"/>
          <w:szCs w:val="32"/>
        </w:rPr>
        <w:t>）产出指标（满分</w:t>
      </w:r>
      <w:r>
        <w:rPr>
          <w:rFonts w:hint="eastAsia" w:ascii="Times New Roman" w:hAnsi="Times New Roman" w:eastAsia="楷体_GB2312"/>
          <w:b/>
          <w:color w:val="000000"/>
          <w:sz w:val="32"/>
          <w:szCs w:val="32"/>
          <w:lang w:val="en-US" w:eastAsia="zh-CN"/>
        </w:rPr>
        <w:t>50</w:t>
      </w:r>
      <w:r>
        <w:rPr>
          <w:rFonts w:ascii="Times New Roman" w:hAnsi="Times New Roman" w:eastAsia="楷体_GB2312"/>
          <w:b/>
          <w:color w:val="000000"/>
          <w:sz w:val="32"/>
          <w:szCs w:val="32"/>
        </w:rPr>
        <w:t>分，实得</w:t>
      </w:r>
      <w:r>
        <w:rPr>
          <w:rFonts w:hint="eastAsia" w:ascii="Times New Roman" w:hAnsi="Times New Roman" w:eastAsia="楷体_GB2312"/>
          <w:b/>
          <w:color w:val="000000"/>
          <w:sz w:val="32"/>
          <w:szCs w:val="32"/>
          <w:lang w:val="en-US" w:eastAsia="zh-CN"/>
        </w:rPr>
        <w:t>50</w:t>
      </w:r>
      <w:r>
        <w:rPr>
          <w:rFonts w:ascii="Times New Roman" w:hAnsi="Times New Roman" w:eastAsia="楷体_GB2312"/>
          <w:b/>
          <w:color w:val="000000"/>
          <w:sz w:val="32"/>
          <w:szCs w:val="32"/>
        </w:rPr>
        <w:t>分）</w:t>
      </w:r>
    </w:p>
    <w:p w14:paraId="7FEAC695">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sz w:val="32"/>
          <w:szCs w:val="32"/>
        </w:rPr>
        <w:t>1.数量指标（满分</w:t>
      </w:r>
      <w:r>
        <w:rPr>
          <w:rFonts w:hint="eastAsia" w:ascii="Times New Roman" w:hAnsi="Times New Roman" w:eastAsia="仿宋_GB2312"/>
          <w:sz w:val="32"/>
          <w:szCs w:val="32"/>
          <w:lang w:val="en-US" w:eastAsia="zh-CN"/>
        </w:rPr>
        <w:t>13</w:t>
      </w:r>
      <w:r>
        <w:rPr>
          <w:rFonts w:ascii="Times New Roman" w:hAnsi="Times New Roman" w:eastAsia="仿宋_GB2312"/>
          <w:sz w:val="32"/>
          <w:szCs w:val="32"/>
        </w:rPr>
        <w:t>分，</w:t>
      </w:r>
      <w:r>
        <w:rPr>
          <w:rFonts w:ascii="Times New Roman" w:hAnsi="Times New Roman" w:eastAsia="仿宋_GB2312"/>
          <w:color w:val="000000"/>
          <w:sz w:val="32"/>
          <w:szCs w:val="32"/>
        </w:rPr>
        <w:t>实得</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w:t>
      </w:r>
    </w:p>
    <w:p w14:paraId="3BFA9423">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年度设定的数量指标为</w:t>
      </w:r>
      <w:r>
        <w:rPr>
          <w:rFonts w:hint="eastAsia" w:ascii="Times New Roman" w:hAnsi="Times New Roman" w:eastAsia="仿宋_GB2312"/>
          <w:color w:val="000000"/>
          <w:sz w:val="32"/>
          <w:szCs w:val="32"/>
          <w:lang w:val="en-US" w:eastAsia="zh-CN"/>
        </w:rPr>
        <w:t>征收地块</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25个</w:t>
      </w:r>
      <w:r>
        <w:rPr>
          <w:rFonts w:ascii="Times New Roman" w:hAnsi="Times New Roman" w:eastAsia="仿宋_GB2312"/>
          <w:color w:val="000000"/>
          <w:sz w:val="32"/>
          <w:szCs w:val="32"/>
        </w:rPr>
        <w:t>；截至202</w:t>
      </w:r>
      <w:r>
        <w:rPr>
          <w:rFonts w:hint="eastAsia" w:ascii="Times New Roman" w:hAnsi="Times New Roman" w:eastAsia="仿宋_GB2312"/>
          <w:color w:val="000000"/>
          <w:sz w:val="32"/>
          <w:szCs w:val="32"/>
          <w:lang w:val="en-US" w:eastAsia="zh-CN"/>
        </w:rPr>
        <w:t>4</w:t>
      </w:r>
      <w:r>
        <w:rPr>
          <w:rFonts w:ascii="Times New Roman" w:hAnsi="Times New Roman" w:eastAsia="仿宋_GB2312"/>
          <w:color w:val="000000"/>
          <w:sz w:val="32"/>
          <w:szCs w:val="32"/>
        </w:rPr>
        <w:t>年底</w:t>
      </w:r>
      <w:r>
        <w:rPr>
          <w:rFonts w:hint="eastAsia" w:ascii="Times New Roman" w:hAnsi="Times New Roman" w:eastAsia="仿宋_GB2312"/>
          <w:color w:val="000000"/>
          <w:sz w:val="32"/>
          <w:szCs w:val="32"/>
          <w:lang w:eastAsia="zh-CN"/>
        </w:rPr>
        <w:t>完成</w:t>
      </w:r>
      <w:r>
        <w:rPr>
          <w:rFonts w:hint="eastAsia" w:ascii="Times New Roman" w:hAnsi="Times New Roman" w:eastAsia="仿宋_GB2312"/>
          <w:color w:val="000000"/>
          <w:sz w:val="32"/>
          <w:szCs w:val="32"/>
          <w:lang w:val="en-US" w:eastAsia="zh-CN"/>
        </w:rPr>
        <w:t>25</w:t>
      </w:r>
      <w:r>
        <w:rPr>
          <w:rFonts w:hint="eastAsia" w:ascii="Times New Roman" w:hAnsi="Times New Roman" w:eastAsia="仿宋_GB2312"/>
          <w:color w:val="000000"/>
          <w:sz w:val="32"/>
          <w:szCs w:val="32"/>
          <w:lang w:eastAsia="zh-CN"/>
        </w:rPr>
        <w:t>个</w:t>
      </w:r>
      <w:r>
        <w:rPr>
          <w:rFonts w:ascii="Times New Roman" w:hAnsi="Times New Roman" w:eastAsia="仿宋_GB2312"/>
          <w:b/>
          <w:color w:val="000000"/>
          <w:sz w:val="32"/>
          <w:szCs w:val="32"/>
        </w:rPr>
        <w:t xml:space="preserve"> </w:t>
      </w:r>
      <w:r>
        <w:rPr>
          <w:rFonts w:ascii="Times New Roman" w:hAnsi="Times New Roman" w:eastAsia="仿宋_GB2312"/>
          <w:color w:val="000000"/>
          <w:sz w:val="32"/>
          <w:szCs w:val="32"/>
        </w:rPr>
        <w:t>，实际完成率为</w:t>
      </w:r>
      <w:r>
        <w:rPr>
          <w:rFonts w:hint="eastAsia" w:ascii="Times New Roman" w:hAnsi="Times New Roman" w:eastAsia="仿宋_GB2312"/>
          <w:color w:val="000000"/>
          <w:sz w:val="32"/>
          <w:szCs w:val="32"/>
          <w:lang w:val="en-US" w:eastAsia="zh-CN"/>
        </w:rPr>
        <w:t>100</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w:t>
      </w:r>
    </w:p>
    <w:p w14:paraId="0E1F4D65">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2.时效指标（满分</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w:t>
      </w:r>
    </w:p>
    <w:p w14:paraId="36890F67">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年度设定的时效指标</w:t>
      </w:r>
      <w:r>
        <w:rPr>
          <w:rFonts w:hint="eastAsia" w:ascii="Times New Roman" w:hAnsi="Times New Roman" w:eastAsia="仿宋_GB2312"/>
          <w:color w:val="000000"/>
          <w:sz w:val="32"/>
          <w:szCs w:val="32"/>
          <w:lang w:val="en-US" w:eastAsia="zh-CN"/>
        </w:rPr>
        <w:t>是征地预存款缴费时效为2024年12月底之前</w:t>
      </w:r>
      <w:r>
        <w:rPr>
          <w:rFonts w:ascii="Times New Roman" w:hAnsi="Times New Roman" w:eastAsia="仿宋_GB2312"/>
          <w:color w:val="000000"/>
          <w:sz w:val="32"/>
          <w:szCs w:val="32"/>
        </w:rPr>
        <w:t>；实际完成情况为</w:t>
      </w:r>
      <w:r>
        <w:rPr>
          <w:rFonts w:hint="eastAsia" w:ascii="Times New Roman" w:hAnsi="Times New Roman" w:eastAsia="仿宋_GB2312"/>
          <w:color w:val="000000"/>
          <w:sz w:val="32"/>
          <w:szCs w:val="32"/>
          <w:lang w:eastAsia="zh-CN"/>
        </w:rPr>
        <w:t>达成预期指标</w:t>
      </w:r>
      <w:r>
        <w:rPr>
          <w:rFonts w:ascii="Times New Roman" w:hAnsi="Times New Roman" w:eastAsia="仿宋_GB2312"/>
          <w:b/>
          <w:color w:val="000000"/>
          <w:sz w:val="32"/>
          <w:szCs w:val="32"/>
        </w:rPr>
        <w:t>，</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w:t>
      </w:r>
    </w:p>
    <w:p w14:paraId="68FB4626">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3.质量指标（满分</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w:t>
      </w:r>
    </w:p>
    <w:p w14:paraId="3ABC2EA9">
      <w:pPr>
        <w:spacing w:line="600" w:lineRule="exact"/>
        <w:ind w:firstLine="640" w:firstLineChars="200"/>
        <w:rPr>
          <w:rFonts w:ascii="Times New Roman" w:hAnsi="Times New Roman" w:eastAsia="仿宋_GB2312"/>
          <w:sz w:val="32"/>
          <w:szCs w:val="32"/>
        </w:rPr>
      </w:pPr>
      <w:r>
        <w:rPr>
          <w:rFonts w:ascii="Times New Roman" w:hAnsi="Times New Roman" w:eastAsia="仿宋_GB2312"/>
          <w:color w:val="000000"/>
          <w:sz w:val="32"/>
          <w:szCs w:val="32"/>
        </w:rPr>
        <w:t>年度设定的质量指标</w:t>
      </w:r>
      <w:r>
        <w:rPr>
          <w:rFonts w:hint="eastAsia" w:ascii="Times New Roman" w:hAnsi="Times New Roman" w:eastAsia="仿宋_GB2312"/>
          <w:color w:val="000000"/>
          <w:sz w:val="32"/>
          <w:szCs w:val="32"/>
          <w:lang w:val="en-US" w:eastAsia="zh-CN"/>
        </w:rPr>
        <w:t>是土地征收条件符合相关要求</w:t>
      </w:r>
      <w:r>
        <w:rPr>
          <w:rFonts w:ascii="Times New Roman" w:hAnsi="Times New Roman" w:eastAsia="仿宋_GB2312"/>
          <w:color w:val="000000"/>
          <w:sz w:val="32"/>
          <w:szCs w:val="32"/>
        </w:rPr>
        <w:t>；实际完成情况为</w:t>
      </w:r>
      <w:r>
        <w:rPr>
          <w:rFonts w:hint="eastAsia" w:ascii="Times New Roman" w:hAnsi="Times New Roman" w:eastAsia="仿宋_GB2312"/>
          <w:color w:val="000000"/>
          <w:sz w:val="32"/>
          <w:szCs w:val="32"/>
          <w:lang w:eastAsia="zh-CN"/>
        </w:rPr>
        <w:t>达成预期指标</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w:t>
      </w:r>
      <w:r>
        <w:rPr>
          <w:rFonts w:ascii="Times New Roman" w:hAnsi="Times New Roman" w:eastAsia="仿宋_GB2312"/>
          <w:sz w:val="32"/>
          <w:szCs w:val="32"/>
        </w:rPr>
        <w:tab/>
      </w:r>
    </w:p>
    <w:p w14:paraId="0424AF85">
      <w:pPr>
        <w:spacing w:line="600" w:lineRule="exact"/>
        <w:ind w:firstLine="640" w:firstLineChars="200"/>
        <w:rPr>
          <w:rFonts w:ascii="Times New Roman" w:hAnsi="Times New Roman" w:eastAsia="仿宋_GB2312"/>
          <w:sz w:val="32"/>
          <w:szCs w:val="32"/>
        </w:rPr>
      </w:pPr>
      <w:r>
        <w:rPr>
          <w:rFonts w:ascii="Times New Roman" w:hAnsi="Times New Roman" w:eastAsia="仿宋_GB2312"/>
          <w:color w:val="000000"/>
          <w:sz w:val="32"/>
          <w:szCs w:val="32"/>
        </w:rPr>
        <w:t>4.成本指标（满分</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w:t>
      </w:r>
      <w:r>
        <w:rPr>
          <w:rFonts w:ascii="Times New Roman" w:hAnsi="Times New Roman" w:eastAsia="仿宋_GB2312"/>
          <w:sz w:val="32"/>
          <w:szCs w:val="32"/>
        </w:rPr>
        <w:tab/>
      </w:r>
    </w:p>
    <w:p w14:paraId="2D05AE72">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年度设定的成本指标为</w:t>
      </w:r>
      <w:r>
        <w:rPr>
          <w:rFonts w:hint="default" w:ascii="Arial" w:hAnsi="Arial" w:eastAsia="仿宋_GB2312" w:cs="Arial"/>
          <w:color w:val="000000"/>
          <w:sz w:val="32"/>
          <w:szCs w:val="32"/>
        </w:rPr>
        <w:t>≤</w:t>
      </w:r>
      <w:r>
        <w:rPr>
          <w:rFonts w:hint="eastAsia" w:ascii="Times New Roman" w:hAnsi="Times New Roman" w:eastAsia="仿宋_GB2312"/>
          <w:color w:val="auto"/>
          <w:sz w:val="32"/>
          <w:szCs w:val="32"/>
          <w:lang w:val="en-US" w:eastAsia="zh-CN"/>
        </w:rPr>
        <w:t>1.2亿</w:t>
      </w:r>
      <w:r>
        <w:rPr>
          <w:rFonts w:hint="eastAsia" w:ascii="Times New Roman" w:hAnsi="Times New Roman" w:eastAsia="仿宋_GB2312"/>
          <w:snapToGrid w:val="0"/>
          <w:color w:val="000000"/>
          <w:sz w:val="32"/>
          <w:szCs w:val="32"/>
          <w:lang w:val="en-US" w:eastAsia="zh-CN"/>
        </w:rPr>
        <w:t>元</w:t>
      </w:r>
      <w:r>
        <w:rPr>
          <w:rFonts w:ascii="Times New Roman" w:hAnsi="Times New Roman" w:eastAsia="仿宋_GB2312"/>
          <w:color w:val="000000"/>
          <w:sz w:val="32"/>
          <w:szCs w:val="32"/>
        </w:rPr>
        <w:t>；实际完成情况为</w:t>
      </w:r>
      <w:r>
        <w:rPr>
          <w:rFonts w:hint="eastAsia" w:ascii="Times New Roman" w:hAnsi="Times New Roman" w:eastAsia="仿宋_GB2312"/>
          <w:color w:val="auto"/>
          <w:sz w:val="32"/>
          <w:szCs w:val="32"/>
          <w:lang w:val="en-US" w:eastAsia="zh-CN"/>
        </w:rPr>
        <w:t>1.19亿</w:t>
      </w:r>
      <w:r>
        <w:rPr>
          <w:rFonts w:hint="eastAsia" w:ascii="Times New Roman" w:hAnsi="Times New Roman" w:eastAsia="仿宋_GB2312"/>
          <w:color w:val="000000"/>
          <w:sz w:val="32"/>
          <w:szCs w:val="32"/>
          <w:lang w:val="en-US" w:eastAsia="zh-CN"/>
        </w:rPr>
        <w:t>元</w:t>
      </w:r>
      <w:r>
        <w:rPr>
          <w:rFonts w:ascii="Times New Roman" w:hAnsi="Times New Roman" w:eastAsia="仿宋_GB2312"/>
          <w:b/>
          <w:color w:val="000000"/>
          <w:sz w:val="32"/>
          <w:szCs w:val="32"/>
        </w:rPr>
        <w:t>，</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w:t>
      </w:r>
    </w:p>
    <w:p w14:paraId="0A731961">
      <w:pPr>
        <w:widowControl/>
        <w:spacing w:line="600" w:lineRule="exact"/>
        <w:ind w:right="-283"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三</w:t>
      </w:r>
      <w:r>
        <w:rPr>
          <w:rFonts w:ascii="Times New Roman" w:hAnsi="Times New Roman" w:eastAsia="楷体_GB2312"/>
          <w:b/>
          <w:color w:val="000000"/>
          <w:sz w:val="32"/>
          <w:szCs w:val="32"/>
        </w:rPr>
        <w:t>）效益指标（满分30分，实得</w:t>
      </w:r>
      <w:r>
        <w:rPr>
          <w:rFonts w:hint="eastAsia" w:ascii="Times New Roman" w:hAnsi="Times New Roman" w:eastAsia="楷体_GB2312"/>
          <w:b/>
          <w:color w:val="000000"/>
          <w:sz w:val="32"/>
          <w:szCs w:val="32"/>
          <w:lang w:val="en-US" w:eastAsia="zh-CN"/>
        </w:rPr>
        <w:t>30</w:t>
      </w:r>
      <w:r>
        <w:rPr>
          <w:rFonts w:ascii="Times New Roman" w:hAnsi="Times New Roman" w:eastAsia="楷体_GB2312"/>
          <w:b/>
          <w:color w:val="000000"/>
          <w:sz w:val="32"/>
          <w:szCs w:val="32"/>
        </w:rPr>
        <w:t>分）</w:t>
      </w:r>
    </w:p>
    <w:p w14:paraId="21ABB952">
      <w:pPr>
        <w:pStyle w:val="9"/>
        <w:keepNext w:val="0"/>
        <w:keepLines w:val="0"/>
        <w:pageBreakBefore w:val="0"/>
        <w:widowControl w:val="0"/>
        <w:kinsoku/>
        <w:wordWrap/>
        <w:overflowPunct/>
        <w:topLinePunct w:val="0"/>
        <w:autoSpaceDE/>
        <w:autoSpaceDN/>
        <w:bidi w:val="0"/>
        <w:adjustRightInd/>
        <w:snapToGrid/>
        <w:ind w:firstLine="560"/>
        <w:textAlignment w:val="auto"/>
        <w:rPr>
          <w:rFonts w:ascii="Times New Roman" w:hAnsi="Times New Roman" w:eastAsia="仿宋_GB2312" w:cs="Times New Roman"/>
          <w:color w:val="000000"/>
          <w:kern w:val="2"/>
          <w:sz w:val="32"/>
          <w:szCs w:val="32"/>
          <w:lang w:val="en-US" w:eastAsia="zh-CN" w:bidi="ar-SA"/>
        </w:rPr>
      </w:pPr>
      <w:r>
        <w:rPr>
          <w:rFonts w:ascii="Times New Roman" w:hAnsi="Times New Roman" w:eastAsia="仿宋_GB2312" w:cs="Times New Roman"/>
          <w:color w:val="000000"/>
          <w:kern w:val="2"/>
          <w:sz w:val="32"/>
          <w:szCs w:val="32"/>
          <w:lang w:val="en-US" w:eastAsia="zh-CN" w:bidi="ar-SA"/>
        </w:rPr>
        <w:t>1.经济效益指标（满分</w:t>
      </w:r>
      <w:r>
        <w:rPr>
          <w:rFonts w:hint="eastAsia" w:ascii="Times New Roman" w:hAnsi="Times New Roman" w:cs="Times New Roman"/>
          <w:color w:val="000000"/>
          <w:kern w:val="2"/>
          <w:sz w:val="32"/>
          <w:szCs w:val="32"/>
          <w:lang w:val="en-US" w:eastAsia="zh-CN" w:bidi="ar-SA"/>
        </w:rPr>
        <w:t>0</w:t>
      </w:r>
      <w:r>
        <w:rPr>
          <w:rFonts w:ascii="Times New Roman" w:hAnsi="Times New Roman" w:eastAsia="仿宋_GB2312" w:cs="Times New Roman"/>
          <w:color w:val="000000"/>
          <w:kern w:val="2"/>
          <w:sz w:val="32"/>
          <w:szCs w:val="32"/>
          <w:lang w:val="en-US" w:eastAsia="zh-CN" w:bidi="ar-SA"/>
        </w:rPr>
        <w:t>分，实得</w:t>
      </w:r>
      <w:r>
        <w:rPr>
          <w:rFonts w:hint="eastAsia" w:ascii="Times New Roman" w:hAnsi="Times New Roman" w:cs="Times New Roman"/>
          <w:color w:val="000000"/>
          <w:kern w:val="2"/>
          <w:sz w:val="32"/>
          <w:szCs w:val="32"/>
          <w:lang w:val="en-US" w:eastAsia="zh-CN" w:bidi="ar-SA"/>
        </w:rPr>
        <w:t>0</w:t>
      </w:r>
      <w:r>
        <w:rPr>
          <w:rFonts w:ascii="Times New Roman" w:hAnsi="Times New Roman" w:eastAsia="仿宋_GB2312" w:cs="Times New Roman"/>
          <w:color w:val="000000"/>
          <w:kern w:val="2"/>
          <w:sz w:val="32"/>
          <w:szCs w:val="32"/>
          <w:lang w:val="en-US" w:eastAsia="zh-CN" w:bidi="ar-SA"/>
        </w:rPr>
        <w:t>分）</w:t>
      </w:r>
    </w:p>
    <w:p w14:paraId="1790586D">
      <w:pPr>
        <w:pStyle w:val="9"/>
        <w:keepNext w:val="0"/>
        <w:keepLines w:val="0"/>
        <w:pageBreakBefore w:val="0"/>
        <w:widowControl w:val="0"/>
        <w:kinsoku/>
        <w:wordWrap/>
        <w:overflowPunct/>
        <w:topLinePunct w:val="0"/>
        <w:autoSpaceDE/>
        <w:autoSpaceDN/>
        <w:bidi w:val="0"/>
        <w:adjustRightInd/>
        <w:snapToGrid/>
        <w:ind w:firstLine="560"/>
        <w:textAlignment w:val="auto"/>
        <w:rPr>
          <w:rFonts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该效益指标不适用于本次项目评价。根据评分标准得</w:t>
      </w:r>
      <w:r>
        <w:rPr>
          <w:rFonts w:hint="eastAsia" w:ascii="Times New Roman" w:hAnsi="Times New Roman" w:cs="Times New Roman"/>
          <w:color w:val="000000"/>
          <w:kern w:val="2"/>
          <w:sz w:val="32"/>
          <w:szCs w:val="32"/>
          <w:lang w:val="en-US" w:eastAsia="zh-CN" w:bidi="ar-SA"/>
        </w:rPr>
        <w:t>0</w:t>
      </w:r>
      <w:r>
        <w:rPr>
          <w:rFonts w:hint="eastAsia" w:ascii="Times New Roman" w:hAnsi="Times New Roman" w:eastAsia="仿宋_GB2312" w:cs="Times New Roman"/>
          <w:color w:val="000000"/>
          <w:kern w:val="2"/>
          <w:sz w:val="32"/>
          <w:szCs w:val="32"/>
          <w:lang w:val="en-US" w:eastAsia="zh-CN" w:bidi="ar-SA"/>
        </w:rPr>
        <w:t>分。</w:t>
      </w:r>
    </w:p>
    <w:p w14:paraId="5612DA76">
      <w:pPr>
        <w:numPr>
          <w:ilvl w:val="0"/>
          <w:numId w:val="0"/>
        </w:numPr>
        <w:spacing w:line="600" w:lineRule="exact"/>
        <w:ind w:firstLine="640" w:firstLineChars="200"/>
        <w:rPr>
          <w:rFonts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2.</w:t>
      </w:r>
      <w:r>
        <w:rPr>
          <w:rFonts w:ascii="Times New Roman" w:hAnsi="Times New Roman" w:eastAsia="仿宋_GB2312" w:cs="Times New Roman"/>
          <w:color w:val="000000"/>
          <w:kern w:val="2"/>
          <w:sz w:val="32"/>
          <w:szCs w:val="32"/>
          <w:lang w:val="en-US" w:eastAsia="zh-CN" w:bidi="ar-SA"/>
        </w:rPr>
        <w:t>社会效益指标（满分</w:t>
      </w:r>
      <w:r>
        <w:rPr>
          <w:rFonts w:hint="eastAsia" w:ascii="Times New Roman" w:hAnsi="Times New Roman" w:eastAsia="仿宋_GB2312" w:cs="Times New Roman"/>
          <w:color w:val="000000"/>
          <w:kern w:val="2"/>
          <w:sz w:val="32"/>
          <w:szCs w:val="32"/>
          <w:lang w:val="en-US" w:eastAsia="zh-CN" w:bidi="ar-SA"/>
        </w:rPr>
        <w:t>15</w:t>
      </w:r>
      <w:r>
        <w:rPr>
          <w:rFonts w:ascii="Times New Roman" w:hAnsi="Times New Roman" w:eastAsia="仿宋_GB2312" w:cs="Times New Roman"/>
          <w:color w:val="000000"/>
          <w:kern w:val="2"/>
          <w:sz w:val="32"/>
          <w:szCs w:val="32"/>
          <w:lang w:val="en-US" w:eastAsia="zh-CN" w:bidi="ar-SA"/>
        </w:rPr>
        <w:t>分，实得</w:t>
      </w:r>
      <w:r>
        <w:rPr>
          <w:rFonts w:hint="eastAsia" w:ascii="Times New Roman" w:hAnsi="Times New Roman" w:eastAsia="仿宋_GB2312" w:cs="Times New Roman"/>
          <w:color w:val="000000"/>
          <w:kern w:val="2"/>
          <w:sz w:val="32"/>
          <w:szCs w:val="32"/>
          <w:lang w:val="en-US" w:eastAsia="zh-CN" w:bidi="ar-SA"/>
        </w:rPr>
        <w:t>15</w:t>
      </w:r>
      <w:r>
        <w:rPr>
          <w:rFonts w:ascii="Times New Roman" w:hAnsi="Times New Roman" w:eastAsia="仿宋_GB2312" w:cs="Times New Roman"/>
          <w:color w:val="000000"/>
          <w:kern w:val="2"/>
          <w:sz w:val="32"/>
          <w:szCs w:val="32"/>
          <w:lang w:val="en-US" w:eastAsia="zh-CN" w:bidi="ar-SA"/>
        </w:rPr>
        <w:t>分）</w:t>
      </w:r>
    </w:p>
    <w:p w14:paraId="1E002E8D">
      <w:pPr>
        <w:numPr>
          <w:ilvl w:val="0"/>
          <w:numId w:val="0"/>
        </w:numPr>
        <w:spacing w:line="600" w:lineRule="exact"/>
        <w:ind w:firstLine="640" w:firstLineChars="200"/>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通过该项目的实施，提高和改善公共服务水平。根据评分标准得15分。</w:t>
      </w:r>
    </w:p>
    <w:p w14:paraId="305AC985">
      <w:pPr>
        <w:spacing w:line="600" w:lineRule="exact"/>
        <w:ind w:firstLine="640" w:firstLineChars="200"/>
        <w:rPr>
          <w:rFonts w:ascii="Times New Roman" w:hAnsi="Times New Roman" w:eastAsia="仿宋_GB2312" w:cs="Times New Roman"/>
          <w:color w:val="000000"/>
          <w:kern w:val="2"/>
          <w:sz w:val="32"/>
          <w:szCs w:val="32"/>
          <w:lang w:val="en-US" w:eastAsia="zh-CN" w:bidi="ar-SA"/>
        </w:rPr>
      </w:pPr>
      <w:r>
        <w:rPr>
          <w:rFonts w:ascii="Times New Roman" w:hAnsi="Times New Roman" w:eastAsia="仿宋_GB2312" w:cs="Times New Roman"/>
          <w:color w:val="000000"/>
          <w:kern w:val="2"/>
          <w:sz w:val="32"/>
          <w:szCs w:val="32"/>
          <w:lang w:val="en-US" w:eastAsia="zh-CN" w:bidi="ar-SA"/>
        </w:rPr>
        <w:t>3.生态效益指标（满分</w:t>
      </w:r>
      <w:r>
        <w:rPr>
          <w:rFonts w:hint="eastAsia" w:ascii="Times New Roman" w:hAnsi="Times New Roman" w:eastAsia="仿宋_GB2312" w:cs="Times New Roman"/>
          <w:color w:val="000000"/>
          <w:kern w:val="2"/>
          <w:sz w:val="32"/>
          <w:szCs w:val="32"/>
          <w:lang w:val="en-US" w:eastAsia="zh-CN" w:bidi="ar-SA"/>
        </w:rPr>
        <w:t>0</w:t>
      </w:r>
      <w:r>
        <w:rPr>
          <w:rFonts w:ascii="Times New Roman" w:hAnsi="Times New Roman" w:eastAsia="仿宋_GB2312" w:cs="Times New Roman"/>
          <w:color w:val="000000"/>
          <w:kern w:val="2"/>
          <w:sz w:val="32"/>
          <w:szCs w:val="32"/>
          <w:lang w:val="en-US" w:eastAsia="zh-CN" w:bidi="ar-SA"/>
        </w:rPr>
        <w:t>分，实得</w:t>
      </w:r>
      <w:r>
        <w:rPr>
          <w:rFonts w:hint="eastAsia" w:ascii="Times New Roman" w:hAnsi="Times New Roman" w:eastAsia="仿宋_GB2312" w:cs="Times New Roman"/>
          <w:color w:val="000000"/>
          <w:kern w:val="2"/>
          <w:sz w:val="32"/>
          <w:szCs w:val="32"/>
          <w:lang w:val="en-US" w:eastAsia="zh-CN" w:bidi="ar-SA"/>
        </w:rPr>
        <w:t>0</w:t>
      </w:r>
      <w:r>
        <w:rPr>
          <w:rFonts w:ascii="Times New Roman" w:hAnsi="Times New Roman" w:eastAsia="仿宋_GB2312" w:cs="Times New Roman"/>
          <w:color w:val="000000"/>
          <w:kern w:val="2"/>
          <w:sz w:val="32"/>
          <w:szCs w:val="32"/>
          <w:lang w:val="en-US" w:eastAsia="zh-CN" w:bidi="ar-SA"/>
        </w:rPr>
        <w:t>分）</w:t>
      </w:r>
    </w:p>
    <w:p w14:paraId="49A90C57">
      <w:pPr>
        <w:pStyle w:val="9"/>
        <w:keepNext w:val="0"/>
        <w:keepLines w:val="0"/>
        <w:pageBreakBefore w:val="0"/>
        <w:widowControl w:val="0"/>
        <w:kinsoku/>
        <w:wordWrap/>
        <w:overflowPunct/>
        <w:topLinePunct w:val="0"/>
        <w:autoSpaceDE/>
        <w:autoSpaceDN/>
        <w:bidi w:val="0"/>
        <w:adjustRightInd/>
        <w:snapToGrid/>
        <w:ind w:firstLine="560"/>
        <w:textAlignment w:val="auto"/>
        <w:rPr>
          <w:rFonts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该效益指标不适用于本次项目评价。根据评分标准得</w:t>
      </w:r>
      <w:r>
        <w:rPr>
          <w:rFonts w:hint="eastAsia" w:ascii="Times New Roman" w:hAnsi="Times New Roman" w:cs="Times New Roman"/>
          <w:color w:val="000000"/>
          <w:kern w:val="2"/>
          <w:sz w:val="32"/>
          <w:szCs w:val="32"/>
          <w:lang w:val="en-US" w:eastAsia="zh-CN" w:bidi="ar-SA"/>
        </w:rPr>
        <w:t>0</w:t>
      </w:r>
      <w:r>
        <w:rPr>
          <w:rFonts w:hint="eastAsia" w:ascii="Times New Roman" w:hAnsi="Times New Roman" w:eastAsia="仿宋_GB2312" w:cs="Times New Roman"/>
          <w:color w:val="000000"/>
          <w:kern w:val="2"/>
          <w:sz w:val="32"/>
          <w:szCs w:val="32"/>
          <w:lang w:val="en-US" w:eastAsia="zh-CN" w:bidi="ar-SA"/>
        </w:rPr>
        <w:t>分。</w:t>
      </w:r>
    </w:p>
    <w:p w14:paraId="13CF3B64">
      <w:pPr>
        <w:numPr>
          <w:ilvl w:val="0"/>
          <w:numId w:val="0"/>
        </w:numPr>
        <w:spacing w:line="600" w:lineRule="exact"/>
        <w:ind w:firstLine="640" w:firstLineChars="200"/>
        <w:rPr>
          <w:rFonts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4.</w:t>
      </w:r>
      <w:r>
        <w:rPr>
          <w:rFonts w:ascii="Times New Roman" w:hAnsi="Times New Roman" w:eastAsia="仿宋_GB2312" w:cs="Times New Roman"/>
          <w:color w:val="000000"/>
          <w:kern w:val="2"/>
          <w:sz w:val="32"/>
          <w:szCs w:val="32"/>
          <w:lang w:val="en-US" w:eastAsia="zh-CN" w:bidi="ar-SA"/>
        </w:rPr>
        <w:t>可持续影响指标（满分</w:t>
      </w:r>
      <w:r>
        <w:rPr>
          <w:rFonts w:hint="eastAsia" w:ascii="Times New Roman" w:hAnsi="Times New Roman" w:eastAsia="仿宋_GB2312" w:cs="Times New Roman"/>
          <w:color w:val="000000"/>
          <w:kern w:val="2"/>
          <w:sz w:val="32"/>
          <w:szCs w:val="32"/>
          <w:lang w:val="en-US" w:eastAsia="zh-CN" w:bidi="ar-SA"/>
        </w:rPr>
        <w:t>15</w:t>
      </w:r>
      <w:r>
        <w:rPr>
          <w:rFonts w:ascii="Times New Roman" w:hAnsi="Times New Roman" w:eastAsia="仿宋_GB2312" w:cs="Times New Roman"/>
          <w:color w:val="000000"/>
          <w:kern w:val="2"/>
          <w:sz w:val="32"/>
          <w:szCs w:val="32"/>
          <w:lang w:val="en-US" w:eastAsia="zh-CN" w:bidi="ar-SA"/>
        </w:rPr>
        <w:t>分，实得</w:t>
      </w:r>
      <w:r>
        <w:rPr>
          <w:rFonts w:hint="eastAsia" w:ascii="Times New Roman" w:hAnsi="Times New Roman" w:eastAsia="仿宋_GB2312" w:cs="Times New Roman"/>
          <w:color w:val="000000"/>
          <w:kern w:val="2"/>
          <w:sz w:val="32"/>
          <w:szCs w:val="32"/>
          <w:lang w:val="en-US" w:eastAsia="zh-CN" w:bidi="ar-SA"/>
        </w:rPr>
        <w:t>15</w:t>
      </w:r>
      <w:r>
        <w:rPr>
          <w:rFonts w:ascii="Times New Roman" w:hAnsi="Times New Roman" w:eastAsia="仿宋_GB2312" w:cs="Times New Roman"/>
          <w:color w:val="000000"/>
          <w:kern w:val="2"/>
          <w:sz w:val="32"/>
          <w:szCs w:val="32"/>
          <w:lang w:val="en-US" w:eastAsia="zh-CN" w:bidi="ar-SA"/>
        </w:rPr>
        <w:t>分）</w:t>
      </w:r>
    </w:p>
    <w:p w14:paraId="23BFCA58">
      <w:pPr>
        <w:numPr>
          <w:ilvl w:val="0"/>
          <w:numId w:val="0"/>
        </w:numPr>
        <w:spacing w:line="600" w:lineRule="exact"/>
        <w:ind w:firstLine="640" w:firstLineChars="200"/>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通过该项目的实施，持续提供和改善公共服务水平。根据评分标准得15分。</w:t>
      </w:r>
    </w:p>
    <w:p w14:paraId="5B804F27">
      <w:pPr>
        <w:spacing w:line="600" w:lineRule="exact"/>
        <w:ind w:right="-283" w:firstLine="643" w:firstLineChars="200"/>
        <w:rPr>
          <w:rFonts w:ascii="Times New Roman" w:hAnsi="Times New Roman" w:eastAsia="仿宋_GB2312"/>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四</w:t>
      </w: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满意度</w:t>
      </w:r>
      <w:r>
        <w:rPr>
          <w:rFonts w:ascii="Times New Roman" w:hAnsi="Times New Roman" w:eastAsia="楷体_GB2312"/>
          <w:b/>
          <w:color w:val="000000"/>
          <w:sz w:val="32"/>
          <w:szCs w:val="32"/>
        </w:rPr>
        <w:t>指标（满分</w:t>
      </w:r>
      <w:r>
        <w:rPr>
          <w:rFonts w:hint="eastAsia" w:ascii="Times New Roman" w:hAnsi="Times New Roman" w:eastAsia="楷体_GB2312"/>
          <w:b/>
          <w:color w:val="000000"/>
          <w:sz w:val="32"/>
          <w:szCs w:val="32"/>
          <w:lang w:val="en-US" w:eastAsia="zh-CN"/>
        </w:rPr>
        <w:t>10</w:t>
      </w:r>
      <w:r>
        <w:rPr>
          <w:rFonts w:ascii="Times New Roman" w:hAnsi="Times New Roman" w:eastAsia="楷体_GB2312"/>
          <w:b/>
          <w:color w:val="000000"/>
          <w:sz w:val="32"/>
          <w:szCs w:val="32"/>
        </w:rPr>
        <w:t>分，实得</w:t>
      </w:r>
      <w:r>
        <w:rPr>
          <w:rFonts w:hint="eastAsia" w:ascii="Times New Roman" w:hAnsi="Times New Roman" w:eastAsia="楷体_GB2312"/>
          <w:b/>
          <w:color w:val="000000"/>
          <w:sz w:val="32"/>
          <w:szCs w:val="32"/>
          <w:lang w:val="en-US" w:eastAsia="zh-CN"/>
        </w:rPr>
        <w:t>10</w:t>
      </w:r>
      <w:r>
        <w:rPr>
          <w:rFonts w:ascii="Times New Roman" w:hAnsi="Times New Roman" w:eastAsia="楷体_GB2312"/>
          <w:b/>
          <w:color w:val="000000"/>
          <w:sz w:val="32"/>
          <w:szCs w:val="32"/>
        </w:rPr>
        <w:t>分）</w:t>
      </w:r>
    </w:p>
    <w:p w14:paraId="3BEAF822">
      <w:p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eastAsia="zh-CN"/>
        </w:rPr>
        <w:t>满意度</w:t>
      </w:r>
      <w:r>
        <w:rPr>
          <w:rFonts w:ascii="Times New Roman" w:hAnsi="Times New Roman" w:eastAsia="仿宋_GB2312"/>
          <w:color w:val="000000"/>
          <w:sz w:val="32"/>
          <w:szCs w:val="32"/>
        </w:rPr>
        <w:t>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14:paraId="45C9FEFF">
      <w:pPr>
        <w:spacing w:line="600" w:lineRule="exact"/>
        <w:ind w:right="-283" w:firstLine="640" w:firstLineChars="200"/>
        <w:rPr>
          <w:rFonts w:ascii="Times New Roman" w:hAnsi="Times New Roman" w:eastAsia="仿宋_GB2312"/>
          <w:color w:val="000000"/>
          <w:sz w:val="32"/>
          <w:szCs w:val="32"/>
        </w:rPr>
      </w:pPr>
      <w:r>
        <w:rPr>
          <w:rFonts w:hint="eastAsia" w:ascii="仿宋_GB2312" w:hAnsi="仿宋_GB2312" w:eastAsia="仿宋_GB2312" w:cs="仿宋_GB2312"/>
          <w:color w:val="000000"/>
          <w:sz w:val="32"/>
          <w:szCs w:val="32"/>
        </w:rPr>
        <w:t>针对主要服务对象以及</w:t>
      </w:r>
      <w:r>
        <w:rPr>
          <w:rFonts w:hint="eastAsia" w:ascii="仿宋_GB2312" w:hAnsi="仿宋_GB2312" w:eastAsia="仿宋_GB2312" w:cs="仿宋_GB2312"/>
          <w:color w:val="000000"/>
          <w:sz w:val="32"/>
          <w:szCs w:val="32"/>
          <w:lang w:val="en-US" w:eastAsia="zh-CN"/>
        </w:rPr>
        <w:t>工作开展</w:t>
      </w:r>
      <w:r>
        <w:rPr>
          <w:rFonts w:hint="eastAsia" w:ascii="仿宋_GB2312" w:hAnsi="仿宋_GB2312" w:eastAsia="仿宋_GB2312" w:cs="仿宋_GB2312"/>
          <w:color w:val="000000"/>
          <w:sz w:val="32"/>
          <w:szCs w:val="32"/>
        </w:rPr>
        <w:t>情况，</w:t>
      </w:r>
      <w:r>
        <w:rPr>
          <w:rFonts w:hint="eastAsia" w:ascii="仿宋_GB2312" w:hAnsi="仿宋_GB2312" w:eastAsia="仿宋_GB2312" w:cs="仿宋_GB2312"/>
          <w:color w:val="000000"/>
          <w:sz w:val="32"/>
          <w:szCs w:val="32"/>
          <w:lang w:eastAsia="zh-CN"/>
        </w:rPr>
        <w:t>满意度</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90%</w:t>
      </w:r>
      <w:r>
        <w:rPr>
          <w:rFonts w:hint="eastAsia" w:ascii="仿宋_GB2312" w:hAnsi="仿宋_GB2312" w:eastAsia="仿宋_GB2312" w:cs="仿宋_GB2312"/>
          <w:color w:val="000000"/>
          <w:sz w:val="32"/>
          <w:szCs w:val="32"/>
        </w:rPr>
        <w:t>。该项依据评分标准得10分。</w:t>
      </w:r>
    </w:p>
    <w:p w14:paraId="2D556B8E">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四、存在问题</w:t>
      </w:r>
      <w:bookmarkStart w:id="0" w:name="_GoBack"/>
      <w:bookmarkEnd w:id="0"/>
    </w:p>
    <w:p w14:paraId="09835907">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通过</w:t>
      </w:r>
      <w:r>
        <w:rPr>
          <w:rFonts w:hint="eastAsia" w:ascii="Times New Roman" w:hAnsi="Times New Roman" w:eastAsia="仿宋_GB2312"/>
          <w:color w:val="000000"/>
          <w:sz w:val="32"/>
          <w:szCs w:val="32"/>
          <w:lang w:eastAsia="zh-CN"/>
        </w:rPr>
        <w:t>评价发现，上述项目实施虽取得了一定的成效，但还存在一些问题和不足，主要表现在属地、市级部门资料对接和资料收集方面。</w:t>
      </w:r>
    </w:p>
    <w:p w14:paraId="4A2DA058">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五、意见和建议</w:t>
      </w:r>
    </w:p>
    <w:p w14:paraId="047586C3">
      <w:pPr>
        <w:widowControl/>
        <w:spacing w:line="600" w:lineRule="exact"/>
        <w:ind w:firstLine="640" w:firstLineChars="200"/>
        <w:rPr>
          <w:rFonts w:ascii="Times New Roman" w:hAnsi="Times New Roman" w:eastAsia="仿宋_GB2312"/>
          <w:sz w:val="32"/>
          <w:szCs w:val="32"/>
        </w:rPr>
      </w:pPr>
      <w:r>
        <w:rPr>
          <w:rFonts w:ascii="Times New Roman" w:hAnsi="Times New Roman" w:eastAsia="仿宋_GB2312"/>
          <w:color w:val="000000"/>
          <w:sz w:val="32"/>
          <w:szCs w:val="32"/>
        </w:rPr>
        <w:t>为进一步提高</w:t>
      </w:r>
      <w:r>
        <w:rPr>
          <w:rFonts w:hint="eastAsia" w:ascii="Times New Roman" w:hAnsi="Times New Roman" w:eastAsia="仿宋_GB2312"/>
          <w:color w:val="000000"/>
          <w:sz w:val="32"/>
          <w:szCs w:val="32"/>
          <w:lang w:eastAsia="zh-CN"/>
        </w:rPr>
        <w:t>资金效率</w:t>
      </w:r>
      <w:r>
        <w:rPr>
          <w:rFonts w:ascii="Times New Roman" w:hAnsi="Times New Roman" w:eastAsia="仿宋_GB2312"/>
          <w:color w:val="000000"/>
          <w:sz w:val="32"/>
          <w:szCs w:val="32"/>
        </w:rPr>
        <w:t>，针对存在的问题，提出如下建议</w:t>
      </w:r>
      <w:r>
        <w:rPr>
          <w:rFonts w:hint="eastAsia" w:ascii="Times New Roman" w:hAnsi="Times New Roman" w:eastAsia="仿宋_GB2312"/>
          <w:color w:val="000000"/>
          <w:sz w:val="32"/>
          <w:szCs w:val="32"/>
          <w:lang w:eastAsia="zh-CN"/>
        </w:rPr>
        <w:t>：要高度重视预算执行工作，加强沟通和协调，采取切实有效措施加快预算执行进度，确保项目达到预算执行序时进度，全面完成年度任务。</w:t>
      </w:r>
    </w:p>
    <w:p w14:paraId="688D25AE">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六、</w:t>
      </w:r>
      <w:r>
        <w:rPr>
          <w:rFonts w:hint="eastAsia" w:ascii="Times New Roman" w:hAnsi="Times New Roman" w:eastAsia="黑体"/>
          <w:color w:val="000000"/>
          <w:sz w:val="32"/>
          <w:szCs w:val="32"/>
        </w:rPr>
        <w:t>评价</w:t>
      </w:r>
      <w:r>
        <w:rPr>
          <w:rFonts w:ascii="Times New Roman" w:hAnsi="Times New Roman" w:eastAsia="黑体"/>
          <w:color w:val="000000"/>
          <w:sz w:val="32"/>
          <w:szCs w:val="32"/>
        </w:rPr>
        <w:t>依据</w:t>
      </w:r>
    </w:p>
    <w:p w14:paraId="7526A80C">
      <w:pPr>
        <w:pStyle w:val="10"/>
        <w:spacing w:line="480" w:lineRule="exact"/>
        <w:ind w:firstLine="560"/>
        <w:jc w:val="left"/>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1、《合肥市财政局关于进一步加强预算执行管理加快支出进度的通知》（合财预〔2018〕539号）；</w:t>
      </w:r>
    </w:p>
    <w:p w14:paraId="257D4C0E">
      <w:pPr>
        <w:pStyle w:val="10"/>
        <w:spacing w:line="480" w:lineRule="exact"/>
        <w:ind w:firstLine="560"/>
        <w:jc w:val="left"/>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2、《中共安徽省委安徽省人民政府关于全面实施预算绩效管理的实施意见》（皖发〔2019〕11号）；</w:t>
      </w:r>
    </w:p>
    <w:p w14:paraId="2FB4D22D">
      <w:pPr>
        <w:pStyle w:val="10"/>
        <w:spacing w:line="480" w:lineRule="exact"/>
        <w:ind w:firstLine="560"/>
        <w:jc w:val="left"/>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3、《中共合肥市委合肥市人民政府关于印发&lt;全面实施预算绩效管理实施办法&gt;的通知》（合发〔2019〕27号）；</w:t>
      </w:r>
    </w:p>
    <w:p w14:paraId="69A191A3">
      <w:pPr>
        <w:spacing w:line="480" w:lineRule="exact"/>
        <w:ind w:firstLine="640" w:firstLineChars="200"/>
        <w:jc w:val="left"/>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4、《关于印发&lt;中央部门预算绩效运行监控管理暂行办法&gt;的通知》（财预〔2019〕136号）；</w:t>
      </w:r>
    </w:p>
    <w:p w14:paraId="19AC202C">
      <w:pPr>
        <w:spacing w:line="480" w:lineRule="exact"/>
        <w:ind w:firstLine="640" w:firstLineChars="200"/>
        <w:jc w:val="left"/>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5、《关于进一步落实全面实施预算绩效管理重点任务的通知》（合预绩组〔2020〕2号）；</w:t>
      </w:r>
    </w:p>
    <w:p w14:paraId="5A8C3BB8">
      <w:pPr>
        <w:spacing w:line="480" w:lineRule="exact"/>
        <w:ind w:firstLine="640" w:firstLineChars="200"/>
        <w:jc w:val="left"/>
        <w:rPr>
          <w:rFonts w:ascii="Times New Roman" w:hAnsi="Times New Roman" w:eastAsia="仿宋_GB2312"/>
          <w:color w:val="000000"/>
          <w:sz w:val="32"/>
          <w:szCs w:val="32"/>
        </w:rPr>
      </w:pPr>
      <w:r>
        <w:rPr>
          <w:rFonts w:hint="eastAsia" w:ascii="Times New Roman" w:hAnsi="Times New Roman" w:eastAsia="仿宋_GB2312" w:cs="Times New Roman"/>
          <w:color w:val="000000"/>
          <w:kern w:val="2"/>
          <w:sz w:val="32"/>
          <w:szCs w:val="32"/>
          <w:lang w:val="en-US" w:eastAsia="zh-CN" w:bidi="ar-SA"/>
        </w:rPr>
        <w:t>6、《关于编制2022年瑶海区部门预算及2022-2024年部门三年滚动财政规划的通知》（瑶财〔2021〕77号）</w:t>
      </w:r>
    </w:p>
    <w:p w14:paraId="659E7A8D">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七、附件</w:t>
      </w:r>
    </w:p>
    <w:p w14:paraId="11684D1A">
      <w:pPr>
        <w:spacing w:line="600" w:lineRule="exact"/>
        <w:ind w:firstLine="640" w:firstLineChars="200"/>
        <w:rPr>
          <w:rFonts w:hint="eastAsia"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val="en-US" w:eastAsia="zh-CN"/>
        </w:rPr>
        <w:t>1、</w:t>
      </w:r>
      <w:r>
        <w:rPr>
          <w:rFonts w:ascii="Times New Roman" w:hAnsi="Times New Roman" w:eastAsia="仿宋_GB2312"/>
          <w:color w:val="000000"/>
          <w:sz w:val="32"/>
          <w:szCs w:val="32"/>
        </w:rPr>
        <w:t>项目支出绩效自评表（</w:t>
      </w:r>
      <w:r>
        <w:rPr>
          <w:rFonts w:hint="eastAsia" w:ascii="Times New Roman" w:hAnsi="Times New Roman" w:eastAsia="仿宋_GB2312"/>
          <w:color w:val="000000"/>
          <w:sz w:val="32"/>
          <w:szCs w:val="32"/>
          <w:lang w:eastAsia="zh-CN"/>
        </w:rPr>
        <w:t>从一体化系统导出</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4AD3F072">
      <w:pPr>
        <w:bidi w:val="0"/>
        <w:rPr>
          <w:rFonts w:hint="eastAsia" w:ascii="Calibri" w:hAnsi="Calibri" w:eastAsia="宋体" w:cs="Times New Roman"/>
          <w:kern w:val="2"/>
          <w:sz w:val="21"/>
          <w:szCs w:val="22"/>
          <w:lang w:val="en-US" w:eastAsia="zh-CN" w:bidi="ar-SA"/>
        </w:rPr>
      </w:pPr>
    </w:p>
    <w:p w14:paraId="29896362">
      <w:pPr>
        <w:bidi w:val="0"/>
        <w:rPr>
          <w:rFonts w:hint="eastAsia"/>
          <w:lang w:val="en-US" w:eastAsia="zh-CN"/>
        </w:rPr>
      </w:pPr>
    </w:p>
    <w:p w14:paraId="6CA6F018">
      <w:pPr>
        <w:bidi w:val="0"/>
        <w:rPr>
          <w:rFonts w:hint="eastAsia"/>
          <w:lang w:val="en-US" w:eastAsia="zh-CN"/>
        </w:rPr>
      </w:pPr>
    </w:p>
    <w:p w14:paraId="3E89F1DE">
      <w:pPr>
        <w:bidi w:val="0"/>
        <w:rPr>
          <w:rFonts w:hint="eastAsia"/>
          <w:lang w:val="en-US" w:eastAsia="zh-CN"/>
        </w:rPr>
      </w:pPr>
    </w:p>
    <w:p w14:paraId="37974DD1">
      <w:pPr>
        <w:bidi w:val="0"/>
        <w:rPr>
          <w:rFonts w:hint="eastAsia"/>
          <w:lang w:val="en-US" w:eastAsia="zh-CN"/>
        </w:rPr>
      </w:pPr>
    </w:p>
    <w:p w14:paraId="29B10665">
      <w:pPr>
        <w:bidi w:val="0"/>
        <w:rPr>
          <w:rFonts w:hint="eastAsia"/>
          <w:lang w:val="en-US" w:eastAsia="zh-CN"/>
        </w:rPr>
      </w:pPr>
    </w:p>
    <w:p w14:paraId="286E8502">
      <w:pPr>
        <w:tabs>
          <w:tab w:val="left" w:pos="6988"/>
        </w:tabs>
        <w:bidi w:val="0"/>
        <w:jc w:val="left"/>
        <w:rPr>
          <w:rFonts w:hint="eastAsia"/>
          <w:lang w:val="en-US" w:eastAsia="zh-CN"/>
        </w:rPr>
      </w:pPr>
      <w:r>
        <w:rPr>
          <w:rFonts w:hint="eastAsia"/>
          <w:lang w:val="en-US" w:eastAsia="zh-CN"/>
        </w:rPr>
        <w:tab/>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5NjdiODMxODg3NGMxODRhNjIzNGEyNjUwZTAzNDAifQ=="/>
  </w:docVars>
  <w:rsids>
    <w:rsidRoot w:val="00000000"/>
    <w:rsid w:val="0D4C612B"/>
    <w:rsid w:val="17B518AE"/>
    <w:rsid w:val="2023593F"/>
    <w:rsid w:val="2BE7252E"/>
    <w:rsid w:val="4F156B73"/>
    <w:rsid w:val="51D23A3E"/>
    <w:rsid w:val="56101070"/>
    <w:rsid w:val="60A77661"/>
    <w:rsid w:val="74D21FC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qFormat/>
    <w:uiPriority w:val="0"/>
    <w:pPr>
      <w:spacing w:line="360" w:lineRule="auto"/>
      <w:ind w:firstLine="562" w:firstLineChars="200"/>
    </w:pPr>
    <w:rPr>
      <w:snapToGrid w:val="0"/>
      <w:sz w:val="28"/>
      <w:szCs w:val="24"/>
    </w:rPr>
  </w:style>
  <w:style w:type="paragraph" w:styleId="3">
    <w:name w:val="Body Text"/>
    <w:basedOn w:val="1"/>
    <w:next w:val="4"/>
    <w:qFormat/>
    <w:uiPriority w:val="99"/>
    <w:pPr>
      <w:spacing w:after="120"/>
    </w:pPr>
  </w:style>
  <w:style w:type="paragraph" w:styleId="4">
    <w:name w:val="Date"/>
    <w:basedOn w:val="1"/>
    <w:next w:val="1"/>
    <w:qFormat/>
    <w:uiPriority w:val="0"/>
    <w:pPr>
      <w:ind w:left="100" w:leftChars="2500"/>
    </w:pPr>
    <w:rPr>
      <w:rFonts w:ascii="Times New Roman" w:hAnsi="Times New Roman"/>
      <w:szCs w:val="24"/>
    </w:rPr>
  </w:style>
  <w:style w:type="paragraph" w:styleId="5">
    <w:name w:val="Body Text First Indent 2"/>
    <w:basedOn w:val="6"/>
    <w:qFormat/>
    <w:uiPriority w:val="0"/>
    <w:pPr>
      <w:tabs>
        <w:tab w:val="left" w:pos="1078"/>
        <w:tab w:val="left" w:pos="1638"/>
        <w:tab w:val="left" w:pos="3920"/>
        <w:tab w:val="left" w:pos="5670"/>
      </w:tabs>
      <w:adjustRightInd w:val="0"/>
      <w:spacing w:before="120" w:after="180" w:line="312" w:lineRule="auto"/>
      <w:ind w:left="69" w:leftChars="33" w:firstLine="200" w:firstLineChars="200"/>
    </w:pPr>
    <w:rPr>
      <w:rFonts w:ascii="Arial" w:hAnsi="Arial"/>
      <w:sz w:val="28"/>
    </w:rPr>
  </w:style>
  <w:style w:type="paragraph" w:styleId="6">
    <w:name w:val="Body Text Indent"/>
    <w:basedOn w:val="1"/>
    <w:next w:val="3"/>
    <w:qFormat/>
    <w:uiPriority w:val="0"/>
    <w:pPr>
      <w:ind w:firstLine="645"/>
    </w:pPr>
    <w:rPr>
      <w:rFonts w:ascii="楷体_GB2312" w:hAnsi="Times New Roman" w:eastAsia="楷体_GB2312"/>
      <w:sz w:val="32"/>
      <w:szCs w:val="20"/>
    </w:rPr>
  </w:style>
  <w:style w:type="paragraph" w:customStyle="1" w:styleId="9">
    <w:name w:val="1正文"/>
    <w:basedOn w:val="1"/>
    <w:qFormat/>
    <w:uiPriority w:val="0"/>
    <w:pPr>
      <w:autoSpaceDE/>
      <w:autoSpaceDN/>
      <w:spacing w:line="360" w:lineRule="auto"/>
      <w:ind w:firstLine="200" w:firstLineChars="200"/>
      <w:jc w:val="both"/>
    </w:pPr>
    <w:rPr>
      <w:rFonts w:ascii="仿宋_GB2312" w:eastAsia="仿宋_GB2312" w:cs="Times New Roman"/>
      <w:kern w:val="2"/>
      <w:sz w:val="28"/>
      <w:szCs w:val="28"/>
      <w:lang w:val="en-US" w:bidi="ar-SA"/>
    </w:rPr>
  </w:style>
  <w:style w:type="paragraph" w:customStyle="1"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1602</Words>
  <Characters>1751</Characters>
  <Lines>0</Lines>
  <Paragraphs>0</Paragraphs>
  <TotalTime>0</TotalTime>
  <ScaleCrop>false</ScaleCrop>
  <LinksUpToDate>false</LinksUpToDate>
  <CharactersWithSpaces>1847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南十</cp:lastModifiedBy>
  <dcterms:modified xsi:type="dcterms:W3CDTF">2025-03-17T08:28:02Z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975BE1ED36B44C86976D865E9B0113B4_13</vt:lpwstr>
  </property>
  <property fmtid="{D5CDD505-2E9C-101B-9397-08002B2CF9AE}" pid="4" name="KSOTemplateDocerSaveRecord">
    <vt:lpwstr>eyJoZGlkIjoiMDQ5NjdiODMxODg3NGMxODRhNjIzNGEyNjUwZTAzNDAiLCJ1c2VySWQiOiI1OTQ4MTI0NjEifQ==</vt:lpwstr>
  </property>
</Properties>
</file>